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0DBF5" w14:textId="77777777" w:rsidR="00FB5559" w:rsidRPr="00DB7E35" w:rsidRDefault="00FB5559" w:rsidP="00E86841">
      <w:pPr>
        <w:ind w:left="567" w:right="1110"/>
        <w:rPr>
          <w:rFonts w:asciiTheme="minorHAnsi" w:hAnsiTheme="minorHAnsi" w:cstheme="minorHAnsi"/>
          <w:b/>
          <w:sz w:val="24"/>
        </w:rPr>
      </w:pPr>
      <w:r>
        <w:rPr>
          <w:rFonts w:asciiTheme="minorHAnsi" w:hAnsiTheme="minorHAnsi"/>
          <w:b/>
          <w:sz w:val="24"/>
        </w:rPr>
        <w:t>Sondajul BEI cu privire la climă – ediția a patra</w:t>
      </w:r>
    </w:p>
    <w:p w14:paraId="5BA33A11" w14:textId="0C03E52C" w:rsidR="00FB5559" w:rsidRPr="00DB7E35" w:rsidRDefault="00FB5559" w:rsidP="00E86841">
      <w:pPr>
        <w:ind w:left="567" w:right="1110"/>
        <w:rPr>
          <w:rFonts w:asciiTheme="minorHAnsi" w:hAnsiTheme="minorHAnsi" w:cstheme="minorHAnsi"/>
          <w:sz w:val="20"/>
        </w:rPr>
      </w:pPr>
      <w:r w:rsidRPr="00225A40">
        <w:rPr>
          <w:rFonts w:asciiTheme="minorHAnsi" w:hAnsiTheme="minorHAnsi"/>
          <w:sz w:val="18"/>
        </w:rPr>
        <w:t xml:space="preserve">LUXEMBURG/BUCUREȘTI, </w:t>
      </w:r>
      <w:r w:rsidR="00225A40" w:rsidRPr="00225A40">
        <w:rPr>
          <w:rFonts w:asciiTheme="minorHAnsi" w:hAnsiTheme="minorHAnsi"/>
          <w:sz w:val="18"/>
        </w:rPr>
        <w:t>22</w:t>
      </w:r>
      <w:r w:rsidRPr="00225A40">
        <w:rPr>
          <w:rFonts w:asciiTheme="minorHAnsi" w:hAnsiTheme="minorHAnsi"/>
          <w:sz w:val="18"/>
        </w:rPr>
        <w:t xml:space="preserve"> martie 2022</w:t>
      </w:r>
    </w:p>
    <w:p w14:paraId="1FF785E1" w14:textId="77777777" w:rsidR="004D1322" w:rsidRPr="00225A40" w:rsidRDefault="004D1322" w:rsidP="00C22B66">
      <w:pPr>
        <w:spacing w:line="264" w:lineRule="auto"/>
        <w:ind w:right="1110"/>
        <w:jc w:val="left"/>
        <w:rPr>
          <w:rFonts w:asciiTheme="minorHAnsi" w:hAnsiTheme="minorHAnsi" w:cstheme="minorHAnsi"/>
          <w:b/>
          <w:lang w:val="fr-FR"/>
        </w:rPr>
      </w:pPr>
    </w:p>
    <w:p w14:paraId="75D7CB32" w14:textId="77777777" w:rsidR="00203193" w:rsidRDefault="00AA091D" w:rsidP="4C662EEB">
      <w:pPr>
        <w:spacing w:line="276" w:lineRule="auto"/>
        <w:ind w:left="562" w:right="821"/>
        <w:rPr>
          <w:rFonts w:ascii="Calibri" w:eastAsia="Calibri" w:hAnsi="Calibri" w:cs="Calibri"/>
          <w:b/>
          <w:bCs/>
          <w:sz w:val="28"/>
          <w:szCs w:val="28"/>
        </w:rPr>
      </w:pPr>
      <w:r>
        <w:rPr>
          <w:rFonts w:ascii="Calibri" w:hAnsi="Calibri"/>
          <w:b/>
          <w:sz w:val="28"/>
        </w:rPr>
        <w:t>Majoritatea românilor așteaptă de la tranziția verde mai multe locuri de muncă și o calitate mai bună a vieții</w:t>
      </w:r>
    </w:p>
    <w:p w14:paraId="729B41C9" w14:textId="77777777" w:rsidR="4C662EEB" w:rsidRDefault="4C662EEB" w:rsidP="4C662EEB">
      <w:pPr>
        <w:spacing w:line="264" w:lineRule="auto"/>
        <w:ind w:left="562" w:right="821"/>
      </w:pPr>
    </w:p>
    <w:p w14:paraId="4937A957" w14:textId="77777777" w:rsidR="00456FA1" w:rsidRDefault="00456FA1" w:rsidP="00456FA1">
      <w:pPr>
        <w:pStyle w:val="ListParagraph"/>
        <w:numPr>
          <w:ilvl w:val="0"/>
          <w:numId w:val="15"/>
        </w:numPr>
        <w:ind w:left="605" w:right="821"/>
        <w:jc w:val="both"/>
        <w:rPr>
          <w:rFonts w:ascii="Calibri" w:hAnsi="Calibri" w:cs="Calibri"/>
          <w:b/>
          <w:bCs/>
          <w:sz w:val="22"/>
          <w:szCs w:val="22"/>
        </w:rPr>
      </w:pPr>
      <w:r>
        <w:rPr>
          <w:rFonts w:ascii="Calibri" w:hAnsi="Calibri"/>
          <w:b/>
          <w:sz w:val="22"/>
        </w:rPr>
        <w:t>65 % consideră că politicile privind clima le vor îmbunătăți calitatea vieții odată cu tranziția verde</w:t>
      </w:r>
    </w:p>
    <w:p w14:paraId="7768490A" w14:textId="77777777" w:rsidR="4C662EEB" w:rsidRDefault="4C662EEB" w:rsidP="6AC586CB">
      <w:pPr>
        <w:pStyle w:val="ListParagraph"/>
        <w:numPr>
          <w:ilvl w:val="0"/>
          <w:numId w:val="15"/>
        </w:numPr>
        <w:ind w:left="605" w:right="821"/>
        <w:jc w:val="both"/>
        <w:rPr>
          <w:rFonts w:ascii="Calibri" w:hAnsi="Calibri" w:cs="Calibri"/>
          <w:b/>
          <w:bCs/>
          <w:sz w:val="22"/>
          <w:szCs w:val="22"/>
        </w:rPr>
      </w:pPr>
      <w:r>
        <w:rPr>
          <w:rFonts w:ascii="Calibri" w:hAnsi="Calibri"/>
          <w:b/>
          <w:sz w:val="22"/>
        </w:rPr>
        <w:t>53 % dintre români cred că politicile privind clima sunt o sursă de creștere economică</w:t>
      </w:r>
    </w:p>
    <w:p w14:paraId="76C70E0C" w14:textId="77777777" w:rsidR="00C22B66" w:rsidRDefault="004A6775" w:rsidP="6AC586CB">
      <w:pPr>
        <w:pStyle w:val="ListParagraph"/>
        <w:numPr>
          <w:ilvl w:val="0"/>
          <w:numId w:val="15"/>
        </w:numPr>
        <w:ind w:left="605" w:right="821"/>
        <w:jc w:val="both"/>
        <w:rPr>
          <w:rFonts w:ascii="Calibri" w:hAnsi="Calibri" w:cs="Calibri"/>
          <w:b/>
          <w:bCs/>
          <w:sz w:val="22"/>
          <w:szCs w:val="22"/>
        </w:rPr>
      </w:pPr>
      <w:r>
        <w:rPr>
          <w:rFonts w:ascii="Calibri" w:hAnsi="Calibri"/>
          <w:b/>
          <w:sz w:val="22"/>
        </w:rPr>
        <w:t>54 % cred că politicile de combatere a schimbărilor climatice vor crea mai multe locuri de muncă decât vor elimina din cele existente</w:t>
      </w:r>
    </w:p>
    <w:p w14:paraId="4D72E7A8" w14:textId="77777777" w:rsidR="4C662EEB" w:rsidRDefault="4C662EEB" w:rsidP="4C662EEB">
      <w:pPr>
        <w:ind w:left="562" w:right="821"/>
      </w:pPr>
    </w:p>
    <w:p w14:paraId="4C2DF744" w14:textId="77777777" w:rsidR="4C662EEB" w:rsidRDefault="4C662EEB" w:rsidP="4C662EEB">
      <w:pPr>
        <w:ind w:left="562" w:right="821"/>
      </w:pPr>
      <w:r>
        <w:rPr>
          <w:rFonts w:ascii="Calibri" w:hAnsi="Calibri"/>
          <w:i/>
        </w:rPr>
        <w:t xml:space="preserve">Acestea sunt câteva dintre </w:t>
      </w:r>
      <w:hyperlink r:id="rId11">
        <w:r>
          <w:rPr>
            <w:rStyle w:val="Hyperlink"/>
            <w:rFonts w:ascii="Calibri" w:hAnsi="Calibri"/>
            <w:i/>
          </w:rPr>
          <w:t>rezultatele celui mai recent</w:t>
        </w:r>
      </w:hyperlink>
      <w:r>
        <w:rPr>
          <w:rFonts w:ascii="Calibri" w:hAnsi="Calibri"/>
          <w:i/>
        </w:rPr>
        <w:t xml:space="preserve"> Sondaj cu privire la climă 2021-2022, efectuat în septembrie 2021 și publicat astăzi de Banca Europeană de Investiții (BEI). BEI este instituția de creditare a Uniunii Europene și cel mai mare creditor multilateral din lume pentru proiectele de acțiuni climatice.</w:t>
      </w:r>
    </w:p>
    <w:p w14:paraId="1A73C060" w14:textId="77777777" w:rsidR="00203193" w:rsidRPr="00225A40" w:rsidRDefault="00203193" w:rsidP="4C662EEB">
      <w:pPr>
        <w:ind w:left="562" w:right="821"/>
        <w:rPr>
          <w:rFonts w:ascii="Calibri" w:eastAsia="Calibri" w:hAnsi="Calibri" w:cs="Calibri"/>
          <w:color w:val="2F5496" w:themeColor="accent5" w:themeShade="BF"/>
          <w:szCs w:val="22"/>
          <w:lang w:val="fr-FR"/>
        </w:rPr>
      </w:pPr>
    </w:p>
    <w:p w14:paraId="65A7E017" w14:textId="77777777" w:rsidR="00E86841" w:rsidRDefault="00E86841" w:rsidP="4C662EEB">
      <w:pPr>
        <w:spacing w:line="254" w:lineRule="auto"/>
        <w:ind w:left="562" w:right="821"/>
      </w:pPr>
      <w:r>
        <w:rPr>
          <w:rFonts w:ascii="Calibri" w:hAnsi="Calibri"/>
          <w:b/>
        </w:rPr>
        <w:t>Calitate mai bună a vieții, în ciuda puterii de cumpărare mai reduse</w:t>
      </w:r>
    </w:p>
    <w:p w14:paraId="744CBB8D" w14:textId="77777777" w:rsidR="4C662EEB" w:rsidRDefault="4C662EEB" w:rsidP="4C662EEB">
      <w:pPr>
        <w:spacing w:line="254" w:lineRule="auto"/>
        <w:ind w:left="562" w:right="821"/>
        <w:rPr>
          <w:b/>
          <w:bCs/>
          <w:szCs w:val="22"/>
        </w:rPr>
      </w:pPr>
    </w:p>
    <w:p w14:paraId="3EC41153" w14:textId="48C8518C" w:rsidR="4C662EEB" w:rsidRDefault="007E6AA4" w:rsidP="4C662EEB">
      <w:pPr>
        <w:ind w:left="562" w:right="821"/>
        <w:rPr>
          <w:rFonts w:ascii="Calibri" w:hAnsi="Calibri"/>
        </w:rPr>
      </w:pPr>
      <w:r>
        <w:rPr>
          <w:rFonts w:ascii="Calibri" w:hAnsi="Calibri"/>
        </w:rPr>
        <w:t xml:space="preserve">Sunt politicile de combatere a schimbărilor climatice o veste bună pentru economie? Majoritatea românilor consideră că tranziția verde va fi o sursă de creștere economică. 53 % împărtășesc această părere, comparativ cu 56 % dintre </w:t>
      </w:r>
      <w:bookmarkStart w:id="0" w:name="_Int_XcNgTlXf"/>
      <w:r>
        <w:rPr>
          <w:rFonts w:ascii="Calibri" w:hAnsi="Calibri"/>
        </w:rPr>
        <w:t>cetățenii UE în ansamblu</w:t>
      </w:r>
      <w:bookmarkEnd w:id="0"/>
      <w:r>
        <w:rPr>
          <w:rFonts w:ascii="Calibri" w:hAnsi="Calibri"/>
        </w:rPr>
        <w:t>.</w:t>
      </w:r>
    </w:p>
    <w:p w14:paraId="47ED4897" w14:textId="7AF76705" w:rsidR="00225A40" w:rsidRDefault="00225A40" w:rsidP="4C662EEB">
      <w:pPr>
        <w:ind w:left="562" w:right="821"/>
      </w:pPr>
      <w:r w:rsidRPr="00225A40">
        <w:rPr>
          <w:noProof/>
          <w:lang w:val="en-US" w:eastAsia="en-US"/>
        </w:rPr>
        <w:drawing>
          <wp:inline distT="0" distB="0" distL="0" distR="0" wp14:anchorId="06E20508" wp14:editId="2450C671">
            <wp:extent cx="4301490" cy="4301490"/>
            <wp:effectExtent l="0" t="0" r="3810" b="3810"/>
            <wp:docPr id="2" name="Picture 2" descr="\\beilux.eib.org\g_disk\ei-inf\private\Online and Multimedia Division\Projects\Climate surveys\Survey IV\Release 3\Infographics\Final infographics\2_EU heatmap_economic growth\2_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ilux.eib.org\g_disk\ei-inf\private\Online and Multimedia Division\Projects\Climate surveys\Survey IV\Release 3\Infographics\Final infographics\2_EU heatmap_economic growth\2_R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1490" cy="4301490"/>
                    </a:xfrm>
                    <a:prstGeom prst="rect">
                      <a:avLst/>
                    </a:prstGeom>
                    <a:noFill/>
                    <a:ln>
                      <a:noFill/>
                    </a:ln>
                  </pic:spPr>
                </pic:pic>
              </a:graphicData>
            </a:graphic>
          </wp:inline>
        </w:drawing>
      </w:r>
    </w:p>
    <w:p w14:paraId="02D975CC" w14:textId="77777777" w:rsidR="00203193" w:rsidRDefault="00203193" w:rsidP="4C662EEB">
      <w:pPr>
        <w:ind w:left="562" w:right="821"/>
        <w:rPr>
          <w:rFonts w:ascii="Calibri" w:eastAsia="Calibri" w:hAnsi="Calibri" w:cs="Calibri"/>
          <w:szCs w:val="22"/>
        </w:rPr>
      </w:pPr>
    </w:p>
    <w:p w14:paraId="6B88C203" w14:textId="49C46BF6" w:rsidR="005D6CB4" w:rsidRDefault="4C662EEB" w:rsidP="4C662EEB">
      <w:pPr>
        <w:spacing w:line="264" w:lineRule="auto"/>
        <w:ind w:left="562" w:right="821"/>
        <w:rPr>
          <w:rFonts w:ascii="Calibri" w:hAnsi="Calibri"/>
        </w:rPr>
      </w:pPr>
      <w:r>
        <w:rPr>
          <w:rFonts w:ascii="Calibri" w:hAnsi="Calibri"/>
        </w:rPr>
        <w:lastRenderedPageBreak/>
        <w:t xml:space="preserve">Între timp, o vastă majoritate (65 %) </w:t>
      </w:r>
      <w:commentRangeStart w:id="1"/>
      <w:commentRangeEnd w:id="1"/>
      <w:r>
        <w:rPr>
          <w:rFonts w:ascii="Calibri" w:hAnsi="Calibri"/>
        </w:rPr>
        <w:t xml:space="preserve">se așteaptă la o îmbunătățire a calității vieții, cu un confort sporit în viața de zi cu zi și impact pozitiv asupra calității alimentelor sau sănătății. Dar politicile care vizează urgența </w:t>
      </w:r>
      <w:bookmarkStart w:id="2" w:name="_Int_syDb6vKb"/>
      <w:r>
        <w:rPr>
          <w:rFonts w:ascii="Calibri" w:hAnsi="Calibri"/>
        </w:rPr>
        <w:t>climatică</w:t>
      </w:r>
      <w:bookmarkEnd w:id="2"/>
      <w:r>
        <w:rPr>
          <w:rFonts w:ascii="Calibri" w:hAnsi="Calibri"/>
        </w:rPr>
        <w:t xml:space="preserve"> sunt văzute ca o veste proastă pentru piața muncii: 54 % dintre români spun că acestea vor avea un impact net negativ asupra nivelului de ocupare a forței de muncă din țară, eliminând mai multe locuri de muncă decât ar crea.</w:t>
      </w:r>
    </w:p>
    <w:p w14:paraId="0F6EA6B2" w14:textId="2F9B05CC" w:rsidR="00225A40" w:rsidRDefault="00225A40" w:rsidP="4C662EEB">
      <w:pPr>
        <w:spacing w:line="264" w:lineRule="auto"/>
        <w:ind w:left="562" w:right="821"/>
      </w:pPr>
      <w:r w:rsidRPr="00225A40">
        <w:rPr>
          <w:noProof/>
          <w:lang w:val="en-US" w:eastAsia="en-US"/>
        </w:rPr>
        <w:drawing>
          <wp:inline distT="0" distB="0" distL="0" distR="0" wp14:anchorId="3A6B3694" wp14:editId="63D4DADE">
            <wp:extent cx="4169410" cy="4169410"/>
            <wp:effectExtent l="0" t="0" r="2540" b="2540"/>
            <wp:docPr id="3" name="Picture 3" descr="\\beilux.eib.org\g_disk\ei-inf\private\Online and Multimedia Division\Projects\Climate surveys\Survey IV\Release 3\Infographics\Final infographics\1_EU heatmap_quality of life\1_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ilux.eib.org\g_disk\ei-inf\private\Online and Multimedia Division\Projects\Climate surveys\Survey IV\Release 3\Infographics\Final infographics\1_EU heatmap_quality of life\1_R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69410" cy="4169410"/>
                    </a:xfrm>
                    <a:prstGeom prst="rect">
                      <a:avLst/>
                    </a:prstGeom>
                    <a:noFill/>
                    <a:ln>
                      <a:noFill/>
                    </a:ln>
                  </pic:spPr>
                </pic:pic>
              </a:graphicData>
            </a:graphic>
          </wp:inline>
        </w:drawing>
      </w:r>
    </w:p>
    <w:p w14:paraId="7887E20D" w14:textId="77777777" w:rsidR="00203193" w:rsidRDefault="00203193" w:rsidP="4C662EEB">
      <w:pPr>
        <w:spacing w:line="264" w:lineRule="auto"/>
        <w:ind w:left="562" w:right="821"/>
        <w:rPr>
          <w:rFonts w:ascii="Calibri" w:eastAsia="Calibri" w:hAnsi="Calibri" w:cs="Calibri"/>
          <w:szCs w:val="22"/>
        </w:rPr>
      </w:pPr>
    </w:p>
    <w:p w14:paraId="0FF81253" w14:textId="77777777" w:rsidR="4C662EEB" w:rsidRDefault="4C662EEB" w:rsidP="4C662EEB">
      <w:pPr>
        <w:spacing w:line="264" w:lineRule="auto"/>
        <w:ind w:left="562" w:right="821"/>
        <w:rPr>
          <w:szCs w:val="22"/>
        </w:rPr>
      </w:pPr>
      <w:r>
        <w:rPr>
          <w:rFonts w:ascii="Calibri" w:hAnsi="Calibri"/>
        </w:rPr>
        <w:t>Cu toate acestea, mai mult de jumătate (58 %) anticipează că puterea lor de cumpărare va scădea odată cu realizarea tranziției verzi.</w:t>
      </w:r>
    </w:p>
    <w:p w14:paraId="3AE3A889" w14:textId="77777777" w:rsidR="00E86841" w:rsidRPr="00DB7E35" w:rsidRDefault="00E86841" w:rsidP="4C662EEB">
      <w:pPr>
        <w:spacing w:line="264" w:lineRule="auto"/>
        <w:ind w:right="827"/>
        <w:rPr>
          <w:rFonts w:asciiTheme="minorHAnsi" w:hAnsiTheme="minorHAnsi" w:cstheme="minorBidi"/>
        </w:rPr>
      </w:pPr>
    </w:p>
    <w:p w14:paraId="4AC553F4" w14:textId="77777777" w:rsidR="007C4537" w:rsidRPr="009A3F2A" w:rsidRDefault="007C4537" w:rsidP="007C4537">
      <w:pPr>
        <w:spacing w:after="160" w:line="256" w:lineRule="auto"/>
        <w:ind w:left="567" w:right="827"/>
        <w:rPr>
          <w:rFonts w:asciiTheme="minorHAnsi" w:hAnsiTheme="minorHAnsi" w:cstheme="minorHAnsi"/>
          <w:b/>
        </w:rPr>
      </w:pPr>
      <w:r>
        <w:rPr>
          <w:rFonts w:asciiTheme="minorHAnsi" w:hAnsiTheme="minorHAnsi"/>
          <w:b/>
        </w:rPr>
        <w:t>Migrarea către alte regiuni și schimbarea locurilor de muncă</w:t>
      </w:r>
    </w:p>
    <w:p w14:paraId="0F329CB9" w14:textId="77777777" w:rsidR="00E86841" w:rsidRDefault="000F54A8" w:rsidP="00E86841">
      <w:pPr>
        <w:spacing w:line="264" w:lineRule="auto"/>
        <w:ind w:left="567" w:right="827"/>
        <w:rPr>
          <w:rFonts w:asciiTheme="minorHAnsi" w:hAnsiTheme="minorHAnsi" w:cstheme="minorHAnsi"/>
          <w:szCs w:val="22"/>
        </w:rPr>
      </w:pPr>
      <w:r>
        <w:rPr>
          <w:rFonts w:asciiTheme="minorHAnsi" w:hAnsiTheme="minorHAnsi"/>
        </w:rPr>
        <w:t>Potrivit românilor, provocările legate de schimbările climatice sunt de durată. În timp ce o treime (35 %) dintre ei consideră că criza climatică va fi sub control până în 2050, 60 % sunt de părere că aceasta va fi în continuare o problemă serioasă până la jumătatea secolului.</w:t>
      </w:r>
    </w:p>
    <w:p w14:paraId="23B319F5" w14:textId="77777777" w:rsidR="002C4D54" w:rsidRDefault="002C4D54" w:rsidP="00E86841">
      <w:pPr>
        <w:spacing w:line="264" w:lineRule="auto"/>
        <w:ind w:left="567" w:right="827"/>
        <w:rPr>
          <w:rFonts w:asciiTheme="minorHAnsi" w:hAnsiTheme="minorHAnsi" w:cstheme="minorHAnsi"/>
          <w:szCs w:val="22"/>
        </w:rPr>
      </w:pPr>
    </w:p>
    <w:p w14:paraId="28F7A10D" w14:textId="64397EFE" w:rsidR="00203193" w:rsidRDefault="004C2116" w:rsidP="007E6E48">
      <w:pPr>
        <w:spacing w:line="264" w:lineRule="auto"/>
        <w:ind w:left="567" w:right="827"/>
        <w:rPr>
          <w:rFonts w:asciiTheme="minorHAnsi" w:hAnsiTheme="minorHAnsi"/>
        </w:rPr>
      </w:pPr>
      <w:r>
        <w:rPr>
          <w:rFonts w:asciiTheme="minorHAnsi" w:hAnsiTheme="minorHAnsi"/>
        </w:rPr>
        <w:t>Respondenții români consideră că schimbările climatice le amenință locul de reședință. Întrebați despre impactul pe termen mai lung al crizei climatice, aproape o treime dintre români (30 %) se așteaptă să fie nevoiți să se mute în altă regiune sau țară din cauza schimbărilor climatice. Această preocupare este mult mai puternică în rândul persoanelor în vârstă de 20 de ani (20-29 de ani), 50 % dintre aceștia afirmând că sunt îngrijorați de posibilitatea de a fi nevoiți să se mute din cauza problemelor climatice. Mulți români, în special tinerii, se îndoiesc de durabilitatea propriilor locuri de muncă: aproape jumătate dintre respondenții în vârstă de 20-29 de ani (44 %) se tem că ar putea să-și piardă actualul loc de muncă din cauza faptului că acesta devine incompatibil cu lupta împotriva schimbărilor climatice (cu 17 puncte peste media națională de 27 %).</w:t>
      </w:r>
    </w:p>
    <w:p w14:paraId="0CC9D55B" w14:textId="168A4156" w:rsidR="00225A40" w:rsidRDefault="00225A40" w:rsidP="007E6E48">
      <w:pPr>
        <w:spacing w:line="264" w:lineRule="auto"/>
        <w:ind w:left="567" w:right="827"/>
        <w:rPr>
          <w:rFonts w:asciiTheme="minorHAnsi" w:hAnsiTheme="minorHAnsi" w:cstheme="minorHAnsi"/>
          <w:szCs w:val="22"/>
        </w:rPr>
      </w:pPr>
      <w:r w:rsidRPr="00225A40">
        <w:rPr>
          <w:rFonts w:asciiTheme="minorHAnsi" w:hAnsiTheme="minorHAnsi" w:cstheme="minorHAnsi"/>
          <w:noProof/>
          <w:szCs w:val="22"/>
          <w:lang w:val="en-US" w:eastAsia="en-US"/>
        </w:rPr>
        <w:lastRenderedPageBreak/>
        <w:drawing>
          <wp:inline distT="0" distB="0" distL="0" distR="0" wp14:anchorId="79D14862" wp14:editId="0A71AEA4">
            <wp:extent cx="4004310" cy="4004310"/>
            <wp:effectExtent l="0" t="0" r="0" b="0"/>
            <wp:docPr id="4" name="Picture 4" descr="\\beilux.eib.org\g_disk\ei-inf\private\Online and Multimedia Division\Projects\Climate surveys\Survey IV\Release 3\Infographics\Final infographics\3_EU heatmap_move regions\3_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ilux.eib.org\g_disk\ei-inf\private\Online and Multimedia Division\Projects\Climate surveys\Survey IV\Release 3\Infographics\Final infographics\3_EU heatmap_move regions\3_R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04310" cy="4004310"/>
                    </a:xfrm>
                    <a:prstGeom prst="rect">
                      <a:avLst/>
                    </a:prstGeom>
                    <a:noFill/>
                    <a:ln>
                      <a:noFill/>
                    </a:ln>
                  </pic:spPr>
                </pic:pic>
              </a:graphicData>
            </a:graphic>
          </wp:inline>
        </w:drawing>
      </w:r>
    </w:p>
    <w:p w14:paraId="3EEA296B" w14:textId="77777777" w:rsidR="00F5086B" w:rsidRDefault="00F5086B" w:rsidP="00081CC0">
      <w:pPr>
        <w:spacing w:after="160" w:line="256" w:lineRule="auto"/>
        <w:ind w:right="827"/>
        <w:rPr>
          <w:rFonts w:asciiTheme="minorHAnsi" w:eastAsiaTheme="minorHAnsi" w:hAnsiTheme="minorHAnsi" w:cstheme="minorHAnsi"/>
          <w:b/>
          <w:color w:val="1F4E79" w:themeColor="accent1" w:themeShade="80"/>
          <w:lang w:eastAsia="en-US"/>
        </w:rPr>
      </w:pPr>
    </w:p>
    <w:p w14:paraId="3843C277" w14:textId="77777777" w:rsidR="00E86841" w:rsidRPr="009A3F2A" w:rsidRDefault="00A133DD" w:rsidP="00203193">
      <w:pPr>
        <w:keepNext/>
        <w:keepLines/>
        <w:spacing w:after="160" w:line="256" w:lineRule="auto"/>
        <w:ind w:left="567" w:right="827"/>
        <w:rPr>
          <w:rFonts w:asciiTheme="minorHAnsi" w:eastAsiaTheme="minorHAnsi" w:hAnsiTheme="minorHAnsi" w:cstheme="minorHAnsi"/>
          <w:b/>
        </w:rPr>
      </w:pPr>
      <w:r>
        <w:rPr>
          <w:rFonts w:asciiTheme="minorHAnsi" w:hAnsiTheme="minorHAnsi"/>
          <w:b/>
        </w:rPr>
        <w:t>Adaptări ale stilului de viață pe termen lung</w:t>
      </w:r>
    </w:p>
    <w:p w14:paraId="1A882BD8" w14:textId="77777777" w:rsidR="00E86841" w:rsidRDefault="00D16C86" w:rsidP="00E86841">
      <w:pPr>
        <w:spacing w:line="264" w:lineRule="auto"/>
        <w:ind w:left="567" w:right="827"/>
        <w:rPr>
          <w:rFonts w:asciiTheme="minorHAnsi" w:hAnsiTheme="minorHAnsi" w:cstheme="minorHAnsi"/>
          <w:szCs w:val="22"/>
        </w:rPr>
      </w:pPr>
      <w:r>
        <w:rPr>
          <w:rFonts w:asciiTheme="minorHAnsi" w:hAnsiTheme="minorHAnsi"/>
        </w:rPr>
        <w:t>Românii sunt conștienți de schimbările de comportament necesare pentru combaterea schimbărilor climatice. Potrivit acestora, modificările individuale ale stilului de viață care reduc emisiile de dioxid de carbon vor câștiga teren semnificativ în următorii 20 de ani. Două cincimi dintre respondenți (41 %) cred că majoritatea oamenilor nu vor mai deține o mașină în 20 de ani, iar 78 % sunt de părere că majoritatea oamenilor vor lucra la distanță pentru a contribui la combaterea schimbărilor climatice. În fine, aproape jumătate (48 %) cred că majoritatea oamenilor vor avea o dietă pe bază de plante, iar 49 % anticipează că va exista o cotă de energie alocată fiecărui cetățean.</w:t>
      </w:r>
    </w:p>
    <w:p w14:paraId="7506C46C" w14:textId="77777777" w:rsidR="00E86841" w:rsidRDefault="00E86841" w:rsidP="00E86841">
      <w:pPr>
        <w:spacing w:line="264" w:lineRule="auto"/>
        <w:ind w:left="567" w:right="827"/>
        <w:rPr>
          <w:rFonts w:asciiTheme="minorHAnsi" w:hAnsiTheme="minorHAnsi" w:cstheme="minorHAnsi"/>
          <w:szCs w:val="22"/>
        </w:rPr>
      </w:pPr>
    </w:p>
    <w:p w14:paraId="1FAA63F7" w14:textId="77777777" w:rsidR="00142C54" w:rsidRDefault="00142C54" w:rsidP="00142C54">
      <w:pPr>
        <w:spacing w:line="264" w:lineRule="auto"/>
        <w:ind w:left="567" w:right="827"/>
        <w:rPr>
          <w:rFonts w:asciiTheme="minorHAnsi" w:hAnsiTheme="minorHAnsi" w:cstheme="minorHAnsi"/>
          <w:b/>
          <w:bCs/>
          <w:iCs/>
          <w:szCs w:val="22"/>
        </w:rPr>
      </w:pPr>
      <w:r>
        <w:rPr>
          <w:rFonts w:asciiTheme="minorHAnsi" w:hAnsiTheme="minorHAnsi"/>
          <w:b/>
        </w:rPr>
        <w:t>Comparație la nivel global: diferențe între europeni, britanici, americani și chinezi</w:t>
      </w:r>
    </w:p>
    <w:p w14:paraId="66C9B09A" w14:textId="77777777" w:rsidR="00143DA5" w:rsidRPr="001F79E9" w:rsidRDefault="00143DA5" w:rsidP="00142C54">
      <w:pPr>
        <w:spacing w:line="264" w:lineRule="auto"/>
        <w:ind w:left="567" w:right="827"/>
        <w:rPr>
          <w:rFonts w:asciiTheme="minorHAnsi" w:hAnsiTheme="minorHAnsi" w:cstheme="minorHAnsi"/>
          <w:b/>
          <w:bCs/>
          <w:iCs/>
          <w:szCs w:val="22"/>
        </w:rPr>
      </w:pPr>
    </w:p>
    <w:p w14:paraId="6288F4C9" w14:textId="7CF38347" w:rsidR="00142C54" w:rsidRDefault="00142C54" w:rsidP="00142C54">
      <w:pPr>
        <w:spacing w:line="264" w:lineRule="auto"/>
        <w:ind w:left="567" w:right="827"/>
        <w:rPr>
          <w:rFonts w:asciiTheme="minorHAnsi" w:hAnsiTheme="minorHAnsi"/>
        </w:rPr>
      </w:pPr>
      <w:r>
        <w:rPr>
          <w:rFonts w:asciiTheme="minorHAnsi" w:hAnsiTheme="minorHAnsi"/>
        </w:rPr>
        <w:t>În general, europenii sunt împărțiți în ceea ce privește faptul că tranziția verde va fi o sursă de creștere economică. Mai mult de jumătate dintre respondenți (56 %) cred afirmația de mai sus, aceasta fiind și percepția americanilor și a britanicilor (57 %), în timp ce chinezii sunt mai optimiști (67 %). Cu toate acestea, majoritatea europenilor (61 %) sunt încrezători că li se va îmbunătăți calitatea vieții, cu un impact pozitiv asupra calității alimentelor sau sănătății. Europenii sunt mai pesimiști în comparație cu chinezii (77 %), americanii (65 %) sau britanicii (63 %).</w:t>
      </w:r>
    </w:p>
    <w:p w14:paraId="250046D6" w14:textId="65E7212B" w:rsidR="00225A40" w:rsidRPr="00F80080" w:rsidRDefault="00225A40" w:rsidP="00142C54">
      <w:pPr>
        <w:spacing w:line="264" w:lineRule="auto"/>
        <w:ind w:left="567" w:right="827"/>
        <w:rPr>
          <w:rFonts w:asciiTheme="minorHAnsi" w:hAnsiTheme="minorHAnsi" w:cstheme="minorHAnsi"/>
          <w:iCs/>
          <w:szCs w:val="22"/>
          <w:highlight w:val="cyan"/>
        </w:rPr>
      </w:pPr>
      <w:r w:rsidRPr="00225A40">
        <w:rPr>
          <w:rFonts w:asciiTheme="minorHAnsi" w:hAnsiTheme="minorHAnsi" w:cstheme="minorHAnsi"/>
          <w:iCs/>
          <w:noProof/>
          <w:szCs w:val="22"/>
          <w:lang w:val="en-US" w:eastAsia="en-US"/>
        </w:rPr>
        <w:lastRenderedPageBreak/>
        <w:drawing>
          <wp:inline distT="0" distB="0" distL="0" distR="0" wp14:anchorId="078ABF71" wp14:editId="7144DF70">
            <wp:extent cx="3933190" cy="3933190"/>
            <wp:effectExtent l="0" t="0" r="0" b="0"/>
            <wp:docPr id="5" name="Picture 5" descr="\\beilux.eib.org\g_disk\ei-inf\private\Online and Multimedia Division\Projects\Climate surveys\Survey IV\Release 3\Infographics\Final infographics\4_EU-US-China comparison\4_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ilux.eib.org\g_disk\ei-inf\private\Online and Multimedia Division\Projects\Climate surveys\Survey IV\Release 3\Infographics\Final infographics\4_EU-US-China comparison\4_RO.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33190" cy="3933190"/>
                    </a:xfrm>
                    <a:prstGeom prst="rect">
                      <a:avLst/>
                    </a:prstGeom>
                    <a:noFill/>
                    <a:ln>
                      <a:noFill/>
                    </a:ln>
                  </pic:spPr>
                </pic:pic>
              </a:graphicData>
            </a:graphic>
          </wp:inline>
        </w:drawing>
      </w:r>
    </w:p>
    <w:p w14:paraId="3B23B1FD" w14:textId="77777777" w:rsidR="00E86841" w:rsidRDefault="00E86841" w:rsidP="00E86841">
      <w:pPr>
        <w:spacing w:line="264" w:lineRule="auto"/>
        <w:ind w:left="567" w:right="827"/>
        <w:rPr>
          <w:rFonts w:asciiTheme="minorHAnsi" w:hAnsiTheme="minorHAnsi" w:cstheme="minorHAnsi"/>
          <w:szCs w:val="22"/>
        </w:rPr>
      </w:pPr>
    </w:p>
    <w:p w14:paraId="6370111F" w14:textId="77777777" w:rsidR="00E86841" w:rsidRPr="000276CB" w:rsidRDefault="00E86841" w:rsidP="00E86841">
      <w:pPr>
        <w:ind w:left="567" w:right="827"/>
        <w:rPr>
          <w:rFonts w:asciiTheme="minorHAnsi" w:hAnsiTheme="minorHAnsi" w:cstheme="minorBidi"/>
          <w:i/>
          <w:iCs/>
        </w:rPr>
      </w:pPr>
      <w:r>
        <w:rPr>
          <w:rFonts w:asciiTheme="minorHAnsi" w:hAnsiTheme="minorHAnsi"/>
        </w:rPr>
        <w:t xml:space="preserve">Vicepreședintele BEI Christian Kettel Thomsen a declarat: </w:t>
      </w:r>
      <w:r>
        <w:rPr>
          <w:rFonts w:asciiTheme="minorHAnsi" w:hAnsiTheme="minorHAnsi"/>
          <w:i/>
        </w:rPr>
        <w:t>„Românii văd oportunități clare în tranziția verde pentru calitatea vieții lor, precum și pentru piața muncii. Dar sunt și foarte preocupați – în special tinerii – de impactul pe termen lung al schimbărilor climatice și de nevoia potențială de a se muta în altă parte. În calitate de bancă climatică a Uniunii Europene, avem responsabilitatea să cunoaștem aceste preocupări și să cooperăm cu factorii de decizie și cu partenerii din domeniul industriei pentru a le gestiona în mod concret. Astfel, putem contribui la tranziția către un viitor mai verde.”</w:t>
      </w:r>
    </w:p>
    <w:p w14:paraId="5D4DC6C6" w14:textId="77777777" w:rsidR="001916BA" w:rsidRPr="00DB7E35" w:rsidRDefault="001916BA" w:rsidP="00E86841">
      <w:pPr>
        <w:spacing w:line="264" w:lineRule="auto"/>
        <w:ind w:left="567" w:right="1110"/>
        <w:rPr>
          <w:rFonts w:asciiTheme="minorHAnsi" w:hAnsiTheme="minorHAnsi" w:cstheme="minorHAnsi"/>
          <w:szCs w:val="22"/>
        </w:rPr>
      </w:pPr>
    </w:p>
    <w:p w14:paraId="0BCF8515" w14:textId="77777777" w:rsidR="004C6264" w:rsidRPr="00DB7E35" w:rsidRDefault="004C6264" w:rsidP="00E86841">
      <w:pPr>
        <w:spacing w:line="264" w:lineRule="auto"/>
        <w:ind w:left="567" w:right="1110"/>
        <w:rPr>
          <w:rFonts w:asciiTheme="minorHAnsi" w:hAnsiTheme="minorHAnsi" w:cstheme="minorHAnsi"/>
          <w:szCs w:val="22"/>
        </w:rPr>
      </w:pPr>
      <w:r>
        <w:rPr>
          <w:rFonts w:asciiTheme="minorHAnsi" w:hAnsiTheme="minorHAnsi"/>
        </w:rPr>
        <w:t>--</w:t>
      </w:r>
    </w:p>
    <w:p w14:paraId="3331205D" w14:textId="77777777" w:rsidR="004C6264" w:rsidRPr="00DB7E35" w:rsidRDefault="004C6264" w:rsidP="00E86841">
      <w:pPr>
        <w:spacing w:line="264" w:lineRule="auto"/>
        <w:ind w:left="567" w:right="1110"/>
        <w:rPr>
          <w:rFonts w:asciiTheme="minorHAnsi" w:hAnsiTheme="minorHAnsi" w:cstheme="minorHAnsi"/>
          <w:szCs w:val="22"/>
        </w:rPr>
      </w:pPr>
    </w:p>
    <w:p w14:paraId="7EB3704A" w14:textId="77777777" w:rsidR="004C6264" w:rsidRPr="00DB7E35" w:rsidRDefault="004C6264" w:rsidP="00E86841">
      <w:pPr>
        <w:ind w:left="567" w:right="1110"/>
        <w:rPr>
          <w:rFonts w:asciiTheme="minorHAnsi" w:eastAsiaTheme="minorHAnsi" w:hAnsiTheme="minorHAnsi" w:cstheme="minorHAnsi"/>
        </w:rPr>
      </w:pPr>
      <w:r w:rsidRPr="00225A40">
        <w:rPr>
          <w:rFonts w:asciiTheme="minorHAnsi" w:hAnsiTheme="minorHAnsi"/>
        </w:rPr>
        <w:t xml:space="preserve">Descărcați foaia de calcul Excel cu datele brute pentru toate cele 30 de țări care au făcut obiectul sondajului </w:t>
      </w:r>
      <w:hyperlink r:id="rId16" w:history="1">
        <w:r w:rsidRPr="00225A40">
          <w:rPr>
            <w:rStyle w:val="Hyperlink"/>
            <w:rFonts w:asciiTheme="minorHAnsi" w:hAnsiTheme="minorHAnsi"/>
          </w:rPr>
          <w:t>aici</w:t>
        </w:r>
      </w:hyperlink>
      <w:r w:rsidRPr="00225A40">
        <w:rPr>
          <w:rFonts w:asciiTheme="minorHAnsi" w:hAnsiTheme="minorHAnsi"/>
        </w:rPr>
        <w:t xml:space="preserve">. Dați clic </w:t>
      </w:r>
      <w:hyperlink r:id="rId17" w:history="1">
        <w:r w:rsidRPr="00225A40">
          <w:rPr>
            <w:rStyle w:val="Hyperlink"/>
            <w:rFonts w:asciiTheme="minorHAnsi" w:hAnsiTheme="minorHAnsi"/>
          </w:rPr>
          <w:t>aici</w:t>
        </w:r>
      </w:hyperlink>
      <w:r w:rsidRPr="00225A40">
        <w:rPr>
          <w:rFonts w:asciiTheme="minorHAnsi" w:hAnsiTheme="minorHAnsi"/>
        </w:rPr>
        <w:t xml:space="preserve"> pentru a accesa o pagină web a BEI, care prezintă principalele constatări ale Sondajului BEI cu privire</w:t>
      </w:r>
      <w:bookmarkStart w:id="3" w:name="_GoBack"/>
      <w:bookmarkEnd w:id="3"/>
      <w:r>
        <w:rPr>
          <w:rFonts w:asciiTheme="minorHAnsi" w:hAnsiTheme="minorHAnsi"/>
        </w:rPr>
        <w:t xml:space="preserve"> la climă – ediția a patra.</w:t>
      </w:r>
    </w:p>
    <w:p w14:paraId="44E7C549" w14:textId="77777777" w:rsidR="004C6264" w:rsidRPr="00DB7E35" w:rsidRDefault="004C6264" w:rsidP="00E86841">
      <w:pPr>
        <w:ind w:left="567" w:right="1110"/>
        <w:rPr>
          <w:rFonts w:asciiTheme="minorHAnsi" w:eastAsiaTheme="minorHAnsi" w:hAnsiTheme="minorHAnsi" w:cstheme="minorHAnsi"/>
          <w:lang w:eastAsia="en-US"/>
        </w:rPr>
      </w:pPr>
    </w:p>
    <w:p w14:paraId="0A886BD9" w14:textId="77777777" w:rsidR="004C6264" w:rsidRPr="00DB7E35" w:rsidRDefault="004C6264" w:rsidP="00E86841">
      <w:pPr>
        <w:ind w:left="567" w:right="1110"/>
        <w:rPr>
          <w:rFonts w:asciiTheme="minorHAnsi" w:hAnsiTheme="minorHAnsi" w:cstheme="minorHAnsi"/>
          <w:b/>
          <w:bCs/>
        </w:rPr>
      </w:pPr>
      <w:r>
        <w:rPr>
          <w:rFonts w:asciiTheme="minorHAnsi" w:hAnsiTheme="minorHAnsi"/>
          <w:b/>
        </w:rPr>
        <w:t>SFÂRȘIT</w:t>
      </w:r>
    </w:p>
    <w:p w14:paraId="2E9E0DA5" w14:textId="77777777" w:rsidR="004C6264" w:rsidRPr="00DB7E35" w:rsidRDefault="004C6264" w:rsidP="00E86841">
      <w:pPr>
        <w:ind w:left="567" w:right="1110"/>
        <w:rPr>
          <w:rFonts w:asciiTheme="minorHAnsi" w:hAnsiTheme="minorHAnsi" w:cstheme="minorHAnsi"/>
          <w:b/>
          <w:bCs/>
        </w:rPr>
      </w:pPr>
    </w:p>
    <w:p w14:paraId="007E340F" w14:textId="77777777" w:rsidR="00203193" w:rsidRDefault="004C6264" w:rsidP="00E86841">
      <w:pPr>
        <w:ind w:left="567" w:right="1110"/>
        <w:rPr>
          <w:rFonts w:asciiTheme="minorHAnsi" w:hAnsiTheme="minorHAnsi" w:cstheme="minorHAnsi"/>
        </w:rPr>
      </w:pPr>
      <w:r>
        <w:rPr>
          <w:rFonts w:asciiTheme="minorHAnsi" w:hAnsiTheme="minorHAnsi"/>
          <w:b/>
        </w:rPr>
        <w:t xml:space="preserve">Contact media – </w:t>
      </w:r>
      <w:r>
        <w:rPr>
          <w:rFonts w:asciiTheme="minorHAnsi" w:hAnsiTheme="minorHAnsi"/>
        </w:rPr>
        <w:t>Richard Willis (</w:t>
      </w:r>
      <w:hyperlink r:id="rId18" w:history="1">
        <w:r>
          <w:rPr>
            <w:rStyle w:val="Hyperlink"/>
            <w:rFonts w:asciiTheme="minorHAnsi" w:hAnsiTheme="minorHAnsi"/>
          </w:rPr>
          <w:t>r.willis@eib.org</w:t>
        </w:r>
      </w:hyperlink>
      <w:r>
        <w:rPr>
          <w:rFonts w:asciiTheme="minorHAnsi" w:hAnsiTheme="minorHAnsi"/>
        </w:rPr>
        <w:t>)</w:t>
      </w:r>
    </w:p>
    <w:p w14:paraId="049FD102" w14:textId="77777777" w:rsidR="004C6264" w:rsidRPr="00DB7E35" w:rsidRDefault="004C6264" w:rsidP="00E86841">
      <w:pPr>
        <w:spacing w:after="160" w:line="256" w:lineRule="auto"/>
        <w:ind w:left="567" w:right="1110"/>
        <w:rPr>
          <w:rFonts w:asciiTheme="minorHAnsi" w:eastAsiaTheme="minorHAnsi" w:hAnsiTheme="minorHAnsi" w:cstheme="minorHAnsi"/>
          <w:b/>
          <w:lang w:eastAsia="en-US"/>
        </w:rPr>
      </w:pPr>
    </w:p>
    <w:p w14:paraId="0221FDFE" w14:textId="77777777" w:rsidR="00203193" w:rsidRDefault="004C6264" w:rsidP="00203193">
      <w:pPr>
        <w:keepNext/>
        <w:keepLines/>
        <w:spacing w:after="160" w:line="256" w:lineRule="auto"/>
        <w:ind w:left="567" w:right="1110"/>
        <w:rPr>
          <w:rFonts w:asciiTheme="minorHAnsi" w:eastAsiaTheme="minorHAnsi" w:hAnsiTheme="minorHAnsi" w:cstheme="minorHAnsi"/>
          <w:b/>
        </w:rPr>
      </w:pPr>
      <w:r>
        <w:rPr>
          <w:rFonts w:asciiTheme="minorHAnsi" w:hAnsiTheme="minorHAnsi"/>
          <w:b/>
        </w:rPr>
        <w:t>Despre Sondajul BEI cu privire la climă</w:t>
      </w:r>
    </w:p>
    <w:p w14:paraId="6D19A416" w14:textId="77777777" w:rsidR="00203193" w:rsidRDefault="004C6264" w:rsidP="00E86841">
      <w:pPr>
        <w:spacing w:after="160" w:line="256" w:lineRule="auto"/>
        <w:ind w:left="567" w:right="1110"/>
        <w:rPr>
          <w:rFonts w:asciiTheme="minorHAnsi" w:eastAsia="Calibri" w:hAnsiTheme="minorHAnsi" w:cstheme="minorHAnsi"/>
        </w:rPr>
      </w:pPr>
      <w:r>
        <w:rPr>
          <w:rFonts w:asciiTheme="minorHAnsi" w:hAnsiTheme="minorHAnsi"/>
        </w:rPr>
        <w:t xml:space="preserve">Banca Europeană de Investiții a lansat a patra ediție a Sondajului BEI cu privire la climă, o evaluare temeinică a părerilor oamenilor despre schimbările climatice. Desfășurat în parteneriat cu firma de cercetare de piață BVA, a patra ediție a Sondajului BEI cu privire la climă are ca scop să informeze despre dezbaterea mai largă referitoare la atitudinile și așteptările legate de acțiunile climatice. </w:t>
      </w:r>
      <w:r>
        <w:rPr>
          <w:rFonts w:asciiTheme="minorHAnsi" w:hAnsiTheme="minorHAnsi"/>
        </w:rPr>
        <w:lastRenderedPageBreak/>
        <w:t>Peste 30 000 de respondenți au participat la sondaj între 26 august și 22 septembrie 2021, cu un eșantion reprezentativ pentru fiecare dintre cele 30 de țări care au făcut obiectul sondajului.</w:t>
      </w:r>
    </w:p>
    <w:p w14:paraId="0BB8E45F" w14:textId="77777777" w:rsidR="00766781" w:rsidRDefault="004C6264" w:rsidP="00203193">
      <w:pPr>
        <w:keepNext/>
        <w:keepLines/>
        <w:spacing w:after="160" w:line="256" w:lineRule="auto"/>
        <w:ind w:left="567" w:right="1110"/>
        <w:rPr>
          <w:rFonts w:asciiTheme="minorHAnsi" w:eastAsiaTheme="minorHAnsi" w:hAnsiTheme="minorHAnsi" w:cstheme="minorHAnsi"/>
          <w:b/>
        </w:rPr>
      </w:pPr>
      <w:r>
        <w:rPr>
          <w:rFonts w:asciiTheme="minorHAnsi" w:hAnsiTheme="minorHAnsi"/>
          <w:b/>
        </w:rPr>
        <w:t>Despre Banca Europeană de Investiții</w:t>
      </w:r>
    </w:p>
    <w:p w14:paraId="4F1DD9B7" w14:textId="77777777" w:rsidR="00203193" w:rsidRDefault="004C6264" w:rsidP="00E86841">
      <w:pPr>
        <w:spacing w:after="160" w:line="256" w:lineRule="auto"/>
        <w:ind w:left="567" w:right="1110"/>
        <w:rPr>
          <w:rFonts w:asciiTheme="minorHAnsi" w:hAnsiTheme="minorHAnsi" w:cstheme="minorHAnsi"/>
        </w:rPr>
      </w:pPr>
      <w:r>
        <w:rPr>
          <w:rFonts w:asciiTheme="minorHAnsi" w:hAnsiTheme="minorHAnsi"/>
        </w:rPr>
        <w:t>Banca Europeană de Investiții (BEI) este instituția de creditare pe termen lung a Uniunii Europene și este deținută de statele membre ale UE. Banca pune la dispoziție finanțare pe termen lung pentru investiții solide, cu scopul de a contribui la atingerea obiectivelor politicilor UE în Europa și în afara acesteia. Banca Europeană de Investiții este activă în aproximativ 160 de țări și este unul dintre cei mai mari creditori multilaterali din lume pentru proiecte de acțiuni climatice. Grupul BEI a adoptat recent Foaia de parcurs a băncii schimbărilor climatice pentru a-și pune în aplicare programul ambițios de a  susține cu 1 mie de miliarde EUR investiții în acțiuni climatice și sustenabile din punct de vedere al mediului în perioada 2020-2030 și de a acorda peste 50 % din finanțările BEI pentru acțiunile climatice și durabilitatea mediului până în 2025. În cadrul Foii de parcurs, toate operațiunile noi ale Grupului BEI de la începutul lui 2021 au fost aliniate cu scopurile și principiile Acordului de la Paris.</w:t>
      </w:r>
    </w:p>
    <w:p w14:paraId="47362D14" w14:textId="77777777" w:rsidR="004C6264" w:rsidRPr="00DB7E35" w:rsidRDefault="004C6264" w:rsidP="00E86841">
      <w:pPr>
        <w:ind w:left="567" w:right="1110"/>
        <w:rPr>
          <w:rFonts w:asciiTheme="minorHAnsi" w:eastAsia="Times New Roman" w:hAnsiTheme="minorHAnsi" w:cstheme="minorHAnsi"/>
          <w:lang w:eastAsia="en-US"/>
        </w:rPr>
      </w:pPr>
    </w:p>
    <w:p w14:paraId="046C2BD1" w14:textId="77777777" w:rsidR="004C6264" w:rsidRDefault="004C6264" w:rsidP="00203193">
      <w:pPr>
        <w:keepNext/>
        <w:keepLines/>
        <w:ind w:left="567" w:right="1110"/>
        <w:rPr>
          <w:rFonts w:asciiTheme="minorHAnsi" w:hAnsiTheme="minorHAnsi" w:cstheme="minorHAnsi"/>
          <w:b/>
        </w:rPr>
      </w:pPr>
      <w:r>
        <w:rPr>
          <w:rFonts w:asciiTheme="minorHAnsi" w:hAnsiTheme="minorHAnsi"/>
          <w:b/>
        </w:rPr>
        <w:t>Despre BVA</w:t>
      </w:r>
    </w:p>
    <w:p w14:paraId="44D99258" w14:textId="77777777" w:rsidR="00766781" w:rsidRPr="00DB7E35" w:rsidRDefault="00766781" w:rsidP="00203193">
      <w:pPr>
        <w:keepNext/>
        <w:keepLines/>
        <w:ind w:left="567" w:right="1110"/>
        <w:rPr>
          <w:rFonts w:asciiTheme="minorHAnsi" w:hAnsiTheme="minorHAnsi" w:cstheme="minorHAnsi"/>
          <w:b/>
        </w:rPr>
      </w:pPr>
    </w:p>
    <w:p w14:paraId="69D01441" w14:textId="77777777" w:rsidR="004C6264" w:rsidRPr="00DB7E35" w:rsidRDefault="004C6264" w:rsidP="00E86841">
      <w:pPr>
        <w:ind w:left="567" w:right="1110"/>
        <w:rPr>
          <w:rFonts w:asciiTheme="minorHAnsi" w:hAnsiTheme="minorHAnsi" w:cstheme="minorHAnsi"/>
        </w:rPr>
      </w:pPr>
      <w:r>
        <w:rPr>
          <w:rFonts w:asciiTheme="minorHAnsi" w:hAnsiTheme="minorHAnsi"/>
        </w:rPr>
        <w:t>BVA este o firmă de consultanță și sondaje de opinii, recunoscută drept una dintre cele mai inovatoare firme de cercetare de piață din sectorul său. Specializată pe marketingul comportamental, BVA combină știința datelor și știința socială pentru a aduce datele la viață și a le prezenta drept surse de inspirație. BVA este și membră a Worldwide Independent Network of Market Research (WIN), o rețea mondială ce reunește câțiva dintre jucătorii mondiali de top din domeniul cercetării de piață și al sondajelor, cu peste 40 de membri.</w:t>
      </w:r>
    </w:p>
    <w:p w14:paraId="6EA5FD18" w14:textId="77777777" w:rsidR="004C6264" w:rsidRPr="00DB7E35" w:rsidRDefault="004C6264" w:rsidP="00E86841">
      <w:pPr>
        <w:spacing w:line="264" w:lineRule="auto"/>
        <w:ind w:left="567" w:right="1110"/>
        <w:rPr>
          <w:rFonts w:asciiTheme="minorHAnsi" w:hAnsiTheme="minorHAnsi" w:cstheme="minorHAnsi"/>
          <w:szCs w:val="22"/>
        </w:rPr>
      </w:pPr>
    </w:p>
    <w:sectPr w:rsidR="004C6264" w:rsidRPr="00DB7E35" w:rsidSect="00273560">
      <w:headerReference w:type="default" r:id="rId19"/>
      <w:footerReference w:type="default" r:id="rId20"/>
      <w:pgSz w:w="11906" w:h="16838"/>
      <w:pgMar w:top="2127" w:right="720" w:bottom="720" w:left="72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524177" w16cid:durableId="25C8AE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63A5C" w14:textId="77777777" w:rsidR="00CE3683" w:rsidRDefault="00CE3683">
      <w:r>
        <w:separator/>
      </w:r>
    </w:p>
  </w:endnote>
  <w:endnote w:type="continuationSeparator" w:id="0">
    <w:p w14:paraId="1E527ADF" w14:textId="77777777" w:rsidR="00CE3683" w:rsidRDefault="00CE3683">
      <w:r>
        <w:continuationSeparator/>
      </w:r>
    </w:p>
  </w:endnote>
  <w:endnote w:type="continuationNotice" w:id="1">
    <w:p w14:paraId="0FC5D371" w14:textId="77777777" w:rsidR="00CE3683" w:rsidRDefault="00CE368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72D8F" w14:textId="12737D1D" w:rsidR="002B4EB2" w:rsidRPr="00265144" w:rsidRDefault="002B4EB2" w:rsidP="00265144">
    <w:pPr>
      <w:pStyle w:val="Footer"/>
      <w:pBdr>
        <w:top w:val="single" w:sz="4" w:space="1" w:color="auto"/>
      </w:pBdr>
      <w:jc w:val="center"/>
      <w:rPr>
        <w:sz w:val="20"/>
        <w:szCs w:val="20"/>
      </w:rPr>
    </w:pPr>
    <w:r w:rsidRPr="00265144">
      <w:rPr>
        <w:rStyle w:val="PageNumber"/>
        <w:sz w:val="20"/>
      </w:rPr>
      <w:fldChar w:fldCharType="begin"/>
    </w:r>
    <w:r w:rsidRPr="00265144">
      <w:rPr>
        <w:rStyle w:val="PageNumber"/>
        <w:sz w:val="20"/>
      </w:rPr>
      <w:instrText xml:space="preserve"> PAGE </w:instrText>
    </w:r>
    <w:r w:rsidRPr="00265144">
      <w:rPr>
        <w:rStyle w:val="PageNumber"/>
        <w:sz w:val="20"/>
      </w:rPr>
      <w:fldChar w:fldCharType="separate"/>
    </w:r>
    <w:r w:rsidR="00225A40">
      <w:rPr>
        <w:rStyle w:val="PageNumber"/>
        <w:noProof/>
        <w:sz w:val="20"/>
      </w:rPr>
      <w:t>4</w:t>
    </w:r>
    <w:r w:rsidRPr="00265144">
      <w:rPr>
        <w:rStyle w:val="PageNumber"/>
        <w:sz w:val="20"/>
      </w:rPr>
      <w:fldChar w:fldCharType="end"/>
    </w:r>
    <w:r>
      <w:rPr>
        <w:rStyle w:val="PageNumber"/>
        <w:sz w:val="20"/>
      </w:rPr>
      <w:t>/</w:t>
    </w:r>
    <w:r w:rsidRPr="00265144">
      <w:rPr>
        <w:rStyle w:val="PageNumber"/>
        <w:sz w:val="20"/>
      </w:rPr>
      <w:fldChar w:fldCharType="begin"/>
    </w:r>
    <w:r w:rsidRPr="00265144">
      <w:rPr>
        <w:rStyle w:val="PageNumber"/>
        <w:sz w:val="20"/>
      </w:rPr>
      <w:instrText xml:space="preserve"> NUMPAGES </w:instrText>
    </w:r>
    <w:r w:rsidRPr="00265144">
      <w:rPr>
        <w:rStyle w:val="PageNumber"/>
        <w:sz w:val="20"/>
      </w:rPr>
      <w:fldChar w:fldCharType="separate"/>
    </w:r>
    <w:r w:rsidR="00225A40">
      <w:rPr>
        <w:rStyle w:val="PageNumber"/>
        <w:noProof/>
        <w:sz w:val="20"/>
      </w:rPr>
      <w:t>5</w:t>
    </w:r>
    <w:r w:rsidRPr="00265144">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92C5B" w14:textId="77777777" w:rsidR="00CE3683" w:rsidRDefault="00CE3683">
      <w:r>
        <w:separator/>
      </w:r>
    </w:p>
  </w:footnote>
  <w:footnote w:type="continuationSeparator" w:id="0">
    <w:p w14:paraId="592CFD0C" w14:textId="77777777" w:rsidR="00CE3683" w:rsidRDefault="00CE3683">
      <w:r>
        <w:continuationSeparator/>
      </w:r>
    </w:p>
  </w:footnote>
  <w:footnote w:type="continuationNotice" w:id="1">
    <w:p w14:paraId="1BA1D821" w14:textId="77777777" w:rsidR="00CE3683" w:rsidRDefault="00CE368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EA6F8" w14:textId="77777777" w:rsidR="000331F4" w:rsidRDefault="007C588A" w:rsidP="000331F4">
    <w:pPr>
      <w:pStyle w:val="Header"/>
      <w:tabs>
        <w:tab w:val="clear" w:pos="9072"/>
        <w:tab w:val="right" w:pos="10348"/>
      </w:tabs>
    </w:pPr>
    <w:r>
      <w:rPr>
        <w:noProof/>
        <w:lang w:val="en-US" w:eastAsia="en-US"/>
      </w:rPr>
      <w:drawing>
        <wp:inline distT="0" distB="0" distL="0" distR="0" wp14:anchorId="7422FA5A" wp14:editId="7CEB3EDC">
          <wp:extent cx="1647825" cy="8639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IB_EU_SLOGAN_B_Romanian_RVB_72.jpg"/>
                  <pic:cNvPicPr/>
                </pic:nvPicPr>
                <pic:blipFill>
                  <a:blip r:embed="rId1">
                    <a:extLst>
                      <a:ext uri="{28A0092B-C50C-407E-A947-70E740481C1C}">
                        <a14:useLocalDpi xmlns:a14="http://schemas.microsoft.com/office/drawing/2010/main" val="0"/>
                      </a:ext>
                    </a:extLst>
                  </a:blip>
                  <a:stretch>
                    <a:fillRect/>
                  </a:stretch>
                </pic:blipFill>
                <pic:spPr>
                  <a:xfrm>
                    <a:off x="0" y="0"/>
                    <a:ext cx="1671359" cy="876242"/>
                  </a:xfrm>
                  <a:prstGeom prst="rect">
                    <a:avLst/>
                  </a:prstGeom>
                </pic:spPr>
              </pic:pic>
            </a:graphicData>
          </a:graphic>
        </wp:inline>
      </w:drawing>
    </w:r>
    <w:r w:rsidR="00853A25">
      <w:tab/>
    </w:r>
    <w:r w:rsidR="00853A25">
      <w:tab/>
    </w:r>
  </w:p>
</w:hdr>
</file>

<file path=word/intelligence2.xml><?xml version="1.0" encoding="utf-8"?>
<int2:intelligence xmlns:int2="http://schemas.microsoft.com/office/intelligence/2020/intelligence" xmlns:oel="http://schemas.microsoft.com/office/2019/extlst">
  <int2:observations>
    <int2:bookmark int2:bookmarkName="_Int_XcNgTlXf" int2:invalidationBookmarkName="" int2:hashCode="kYq0l0qE5GVAZB" int2:id="s7Osguqt">
      <int2:state int2:value="Rejected" int2:type="LegacyProofing"/>
    </int2:bookmark>
    <int2:bookmark int2:bookmarkName="_Int_syDb6vKb" int2:invalidationBookmarkName="" int2:hashCode="6S1e8t6QqwgDTu" int2:id="shfbRB2b">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3D33"/>
    <w:multiLevelType w:val="hybridMultilevel"/>
    <w:tmpl w:val="1BDE6B0A"/>
    <w:lvl w:ilvl="0" w:tplc="BE988620">
      <w:start w:val="1"/>
      <w:numFmt w:val="bullet"/>
      <w:lvlText w:val="·"/>
      <w:lvlJc w:val="left"/>
      <w:pPr>
        <w:ind w:left="720" w:hanging="360"/>
      </w:pPr>
      <w:rPr>
        <w:rFonts w:ascii="Symbol" w:hAnsi="Symbol" w:hint="default"/>
      </w:rPr>
    </w:lvl>
    <w:lvl w:ilvl="1" w:tplc="F5B612BA">
      <w:start w:val="1"/>
      <w:numFmt w:val="bullet"/>
      <w:lvlText w:val="o"/>
      <w:lvlJc w:val="left"/>
      <w:pPr>
        <w:ind w:left="1440" w:hanging="360"/>
      </w:pPr>
      <w:rPr>
        <w:rFonts w:ascii="Courier New" w:hAnsi="Courier New" w:hint="default"/>
      </w:rPr>
    </w:lvl>
    <w:lvl w:ilvl="2" w:tplc="D2300642">
      <w:start w:val="1"/>
      <w:numFmt w:val="bullet"/>
      <w:lvlText w:val=""/>
      <w:lvlJc w:val="left"/>
      <w:pPr>
        <w:ind w:left="2160" w:hanging="360"/>
      </w:pPr>
      <w:rPr>
        <w:rFonts w:ascii="Wingdings" w:hAnsi="Wingdings" w:hint="default"/>
      </w:rPr>
    </w:lvl>
    <w:lvl w:ilvl="3" w:tplc="8EC00174">
      <w:start w:val="1"/>
      <w:numFmt w:val="bullet"/>
      <w:lvlText w:val=""/>
      <w:lvlJc w:val="left"/>
      <w:pPr>
        <w:ind w:left="2880" w:hanging="360"/>
      </w:pPr>
      <w:rPr>
        <w:rFonts w:ascii="Symbol" w:hAnsi="Symbol" w:hint="default"/>
      </w:rPr>
    </w:lvl>
    <w:lvl w:ilvl="4" w:tplc="41DACBDE">
      <w:start w:val="1"/>
      <w:numFmt w:val="bullet"/>
      <w:lvlText w:val="o"/>
      <w:lvlJc w:val="left"/>
      <w:pPr>
        <w:ind w:left="3600" w:hanging="360"/>
      </w:pPr>
      <w:rPr>
        <w:rFonts w:ascii="Courier New" w:hAnsi="Courier New" w:hint="default"/>
      </w:rPr>
    </w:lvl>
    <w:lvl w:ilvl="5" w:tplc="A3D26138">
      <w:start w:val="1"/>
      <w:numFmt w:val="bullet"/>
      <w:lvlText w:val=""/>
      <w:lvlJc w:val="left"/>
      <w:pPr>
        <w:ind w:left="4320" w:hanging="360"/>
      </w:pPr>
      <w:rPr>
        <w:rFonts w:ascii="Wingdings" w:hAnsi="Wingdings" w:hint="default"/>
      </w:rPr>
    </w:lvl>
    <w:lvl w:ilvl="6" w:tplc="0B52A8B4">
      <w:start w:val="1"/>
      <w:numFmt w:val="bullet"/>
      <w:lvlText w:val=""/>
      <w:lvlJc w:val="left"/>
      <w:pPr>
        <w:ind w:left="5040" w:hanging="360"/>
      </w:pPr>
      <w:rPr>
        <w:rFonts w:ascii="Symbol" w:hAnsi="Symbol" w:hint="default"/>
      </w:rPr>
    </w:lvl>
    <w:lvl w:ilvl="7" w:tplc="9C3E61E6">
      <w:start w:val="1"/>
      <w:numFmt w:val="bullet"/>
      <w:lvlText w:val="o"/>
      <w:lvlJc w:val="left"/>
      <w:pPr>
        <w:ind w:left="5760" w:hanging="360"/>
      </w:pPr>
      <w:rPr>
        <w:rFonts w:ascii="Courier New" w:hAnsi="Courier New" w:hint="default"/>
      </w:rPr>
    </w:lvl>
    <w:lvl w:ilvl="8" w:tplc="35BE3BD0">
      <w:start w:val="1"/>
      <w:numFmt w:val="bullet"/>
      <w:lvlText w:val=""/>
      <w:lvlJc w:val="left"/>
      <w:pPr>
        <w:ind w:left="6480" w:hanging="360"/>
      </w:pPr>
      <w:rPr>
        <w:rFonts w:ascii="Wingdings" w:hAnsi="Wingdings" w:hint="default"/>
      </w:rPr>
    </w:lvl>
  </w:abstractNum>
  <w:abstractNum w:abstractNumId="1" w15:restartNumberingAfterBreak="0">
    <w:nsid w:val="13DE6FA3"/>
    <w:multiLevelType w:val="hybridMultilevel"/>
    <w:tmpl w:val="3AC6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00C4F"/>
    <w:multiLevelType w:val="hybridMultilevel"/>
    <w:tmpl w:val="B6BA9EBA"/>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3" w15:restartNumberingAfterBreak="0">
    <w:nsid w:val="26A5530D"/>
    <w:multiLevelType w:val="hybridMultilevel"/>
    <w:tmpl w:val="B7524C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77F49"/>
    <w:multiLevelType w:val="hybridMultilevel"/>
    <w:tmpl w:val="CA303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330FBA"/>
    <w:multiLevelType w:val="hybridMultilevel"/>
    <w:tmpl w:val="2F6EF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793B32"/>
    <w:multiLevelType w:val="hybridMultilevel"/>
    <w:tmpl w:val="764A5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68760BF"/>
    <w:multiLevelType w:val="hybridMultilevel"/>
    <w:tmpl w:val="0512C888"/>
    <w:lvl w:ilvl="0" w:tplc="73843066">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75F40D7"/>
    <w:multiLevelType w:val="hybridMultilevel"/>
    <w:tmpl w:val="5A0868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835086"/>
    <w:multiLevelType w:val="hybridMultilevel"/>
    <w:tmpl w:val="783E43E6"/>
    <w:lvl w:ilvl="0" w:tplc="6B0C4B62">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8607DE"/>
    <w:multiLevelType w:val="hybridMultilevel"/>
    <w:tmpl w:val="13F06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EDF65C7"/>
    <w:multiLevelType w:val="hybridMultilevel"/>
    <w:tmpl w:val="82C8A8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CBD6EF8"/>
    <w:multiLevelType w:val="hybridMultilevel"/>
    <w:tmpl w:val="D2AEEA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0413131"/>
    <w:multiLevelType w:val="hybridMultilevel"/>
    <w:tmpl w:val="FE34C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23D6902"/>
    <w:multiLevelType w:val="hybridMultilevel"/>
    <w:tmpl w:val="1732615E"/>
    <w:lvl w:ilvl="0" w:tplc="86B087AA">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2"/>
  </w:num>
  <w:num w:numId="4">
    <w:abstractNumId w:val="14"/>
  </w:num>
  <w:num w:numId="5">
    <w:abstractNumId w:val="6"/>
  </w:num>
  <w:num w:numId="6">
    <w:abstractNumId w:val="8"/>
  </w:num>
  <w:num w:numId="7">
    <w:abstractNumId w:val="9"/>
  </w:num>
  <w:num w:numId="8">
    <w:abstractNumId w:val="11"/>
  </w:num>
  <w:num w:numId="9">
    <w:abstractNumId w:val="2"/>
  </w:num>
  <w:num w:numId="10">
    <w:abstractNumId w:val="5"/>
  </w:num>
  <w:num w:numId="11">
    <w:abstractNumId w:val="3"/>
  </w:num>
  <w:num w:numId="12">
    <w:abstractNumId w:val="7"/>
  </w:num>
  <w:num w:numId="13">
    <w:abstractNumId w:val="4"/>
  </w:num>
  <w:num w:numId="14">
    <w:abstractNumId w:val="1"/>
  </w:num>
  <w:num w:numId="1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3CD"/>
    <w:rsid w:val="00000CEB"/>
    <w:rsid w:val="0000104D"/>
    <w:rsid w:val="00001D83"/>
    <w:rsid w:val="00001E71"/>
    <w:rsid w:val="00004D2D"/>
    <w:rsid w:val="0000658B"/>
    <w:rsid w:val="00006C73"/>
    <w:rsid w:val="00012677"/>
    <w:rsid w:val="000144D1"/>
    <w:rsid w:val="00017A4B"/>
    <w:rsid w:val="000244F5"/>
    <w:rsid w:val="000260E1"/>
    <w:rsid w:val="00026AAB"/>
    <w:rsid w:val="000276CB"/>
    <w:rsid w:val="00031663"/>
    <w:rsid w:val="00032AFD"/>
    <w:rsid w:val="00033089"/>
    <w:rsid w:val="000331F4"/>
    <w:rsid w:val="0003489D"/>
    <w:rsid w:val="000359C0"/>
    <w:rsid w:val="00037BC9"/>
    <w:rsid w:val="00040863"/>
    <w:rsid w:val="000419F5"/>
    <w:rsid w:val="00044145"/>
    <w:rsid w:val="00044DCB"/>
    <w:rsid w:val="0004580A"/>
    <w:rsid w:val="00045C3E"/>
    <w:rsid w:val="00047A17"/>
    <w:rsid w:val="0005067F"/>
    <w:rsid w:val="0005106D"/>
    <w:rsid w:val="0007351E"/>
    <w:rsid w:val="00073D59"/>
    <w:rsid w:val="00074AC8"/>
    <w:rsid w:val="0007650A"/>
    <w:rsid w:val="00081805"/>
    <w:rsid w:val="00081CC0"/>
    <w:rsid w:val="00084BE1"/>
    <w:rsid w:val="00085ACD"/>
    <w:rsid w:val="000922EC"/>
    <w:rsid w:val="00094D07"/>
    <w:rsid w:val="000A18F4"/>
    <w:rsid w:val="000A203A"/>
    <w:rsid w:val="000A396C"/>
    <w:rsid w:val="000A59CF"/>
    <w:rsid w:val="000A7F7C"/>
    <w:rsid w:val="000B0413"/>
    <w:rsid w:val="000B05AB"/>
    <w:rsid w:val="000B4FB8"/>
    <w:rsid w:val="000B637D"/>
    <w:rsid w:val="000B7218"/>
    <w:rsid w:val="000C0442"/>
    <w:rsid w:val="000C3DD7"/>
    <w:rsid w:val="000C4994"/>
    <w:rsid w:val="000C66A0"/>
    <w:rsid w:val="000D22CB"/>
    <w:rsid w:val="000D28BD"/>
    <w:rsid w:val="000D2B1B"/>
    <w:rsid w:val="000D4449"/>
    <w:rsid w:val="000D47D9"/>
    <w:rsid w:val="000D5015"/>
    <w:rsid w:val="000D6CA5"/>
    <w:rsid w:val="000D6F62"/>
    <w:rsid w:val="000E2241"/>
    <w:rsid w:val="000E2850"/>
    <w:rsid w:val="000F0DBC"/>
    <w:rsid w:val="000F532C"/>
    <w:rsid w:val="000F54A8"/>
    <w:rsid w:val="001012D7"/>
    <w:rsid w:val="00101422"/>
    <w:rsid w:val="00102020"/>
    <w:rsid w:val="00106C7D"/>
    <w:rsid w:val="0011192F"/>
    <w:rsid w:val="00115AF2"/>
    <w:rsid w:val="001171BF"/>
    <w:rsid w:val="001179E5"/>
    <w:rsid w:val="0012030D"/>
    <w:rsid w:val="00120777"/>
    <w:rsid w:val="00124D96"/>
    <w:rsid w:val="00124DBC"/>
    <w:rsid w:val="00127346"/>
    <w:rsid w:val="00127A08"/>
    <w:rsid w:val="0013337E"/>
    <w:rsid w:val="0013495E"/>
    <w:rsid w:val="001369DF"/>
    <w:rsid w:val="00140A7E"/>
    <w:rsid w:val="00141C5A"/>
    <w:rsid w:val="00142802"/>
    <w:rsid w:val="00142C54"/>
    <w:rsid w:val="00143DA5"/>
    <w:rsid w:val="00144E14"/>
    <w:rsid w:val="00147A43"/>
    <w:rsid w:val="001508AD"/>
    <w:rsid w:val="00151B1C"/>
    <w:rsid w:val="00161C1B"/>
    <w:rsid w:val="00162E7A"/>
    <w:rsid w:val="00163198"/>
    <w:rsid w:val="00167217"/>
    <w:rsid w:val="00170254"/>
    <w:rsid w:val="001775A7"/>
    <w:rsid w:val="00177D80"/>
    <w:rsid w:val="00177EF5"/>
    <w:rsid w:val="00177F7B"/>
    <w:rsid w:val="00180116"/>
    <w:rsid w:val="001802A6"/>
    <w:rsid w:val="00182E65"/>
    <w:rsid w:val="001900BE"/>
    <w:rsid w:val="00190BA1"/>
    <w:rsid w:val="00190E42"/>
    <w:rsid w:val="001916BA"/>
    <w:rsid w:val="00191F45"/>
    <w:rsid w:val="001A0D77"/>
    <w:rsid w:val="001A39D0"/>
    <w:rsid w:val="001A3A80"/>
    <w:rsid w:val="001A3E26"/>
    <w:rsid w:val="001A60B8"/>
    <w:rsid w:val="001A757B"/>
    <w:rsid w:val="001A7AB2"/>
    <w:rsid w:val="001A7BAC"/>
    <w:rsid w:val="001B0E23"/>
    <w:rsid w:val="001B1727"/>
    <w:rsid w:val="001B3A0A"/>
    <w:rsid w:val="001B3FDA"/>
    <w:rsid w:val="001B5912"/>
    <w:rsid w:val="001C0EC3"/>
    <w:rsid w:val="001D0560"/>
    <w:rsid w:val="001D082B"/>
    <w:rsid w:val="001D3C1C"/>
    <w:rsid w:val="001D464A"/>
    <w:rsid w:val="001D673F"/>
    <w:rsid w:val="001E1709"/>
    <w:rsid w:val="001E17E9"/>
    <w:rsid w:val="001E4079"/>
    <w:rsid w:val="001E5543"/>
    <w:rsid w:val="001E7B13"/>
    <w:rsid w:val="001F09C4"/>
    <w:rsid w:val="001F0EDE"/>
    <w:rsid w:val="001F2BB0"/>
    <w:rsid w:val="001F53B8"/>
    <w:rsid w:val="001F5C65"/>
    <w:rsid w:val="001F7389"/>
    <w:rsid w:val="00201402"/>
    <w:rsid w:val="00203193"/>
    <w:rsid w:val="002113BD"/>
    <w:rsid w:val="002156C2"/>
    <w:rsid w:val="00215FEF"/>
    <w:rsid w:val="00222DBD"/>
    <w:rsid w:val="00223BA6"/>
    <w:rsid w:val="00224E0D"/>
    <w:rsid w:val="00225A40"/>
    <w:rsid w:val="00230713"/>
    <w:rsid w:val="00231409"/>
    <w:rsid w:val="002362DF"/>
    <w:rsid w:val="0024278B"/>
    <w:rsid w:val="002479E2"/>
    <w:rsid w:val="00251420"/>
    <w:rsid w:val="00252A22"/>
    <w:rsid w:val="0025355A"/>
    <w:rsid w:val="0025564C"/>
    <w:rsid w:val="00255929"/>
    <w:rsid w:val="00255B35"/>
    <w:rsid w:val="002562D6"/>
    <w:rsid w:val="00256B1F"/>
    <w:rsid w:val="00265144"/>
    <w:rsid w:val="00267236"/>
    <w:rsid w:val="00270660"/>
    <w:rsid w:val="00273560"/>
    <w:rsid w:val="00273E1F"/>
    <w:rsid w:val="00276645"/>
    <w:rsid w:val="0028226F"/>
    <w:rsid w:val="002829D9"/>
    <w:rsid w:val="002830B3"/>
    <w:rsid w:val="002844B0"/>
    <w:rsid w:val="00284D9B"/>
    <w:rsid w:val="00286E7A"/>
    <w:rsid w:val="00287A98"/>
    <w:rsid w:val="002929BA"/>
    <w:rsid w:val="00293008"/>
    <w:rsid w:val="002975AA"/>
    <w:rsid w:val="002A0F5A"/>
    <w:rsid w:val="002A21AF"/>
    <w:rsid w:val="002A51BF"/>
    <w:rsid w:val="002A52B3"/>
    <w:rsid w:val="002B4EB2"/>
    <w:rsid w:val="002B58D8"/>
    <w:rsid w:val="002C112C"/>
    <w:rsid w:val="002C4AC1"/>
    <w:rsid w:val="002C4ADC"/>
    <w:rsid w:val="002C4D54"/>
    <w:rsid w:val="002C51B6"/>
    <w:rsid w:val="002C57FF"/>
    <w:rsid w:val="002C627A"/>
    <w:rsid w:val="002C7055"/>
    <w:rsid w:val="002D0C60"/>
    <w:rsid w:val="002D4468"/>
    <w:rsid w:val="002D4A71"/>
    <w:rsid w:val="002D679E"/>
    <w:rsid w:val="002E42E8"/>
    <w:rsid w:val="002E4CA0"/>
    <w:rsid w:val="002F21CD"/>
    <w:rsid w:val="002F329D"/>
    <w:rsid w:val="002F4A96"/>
    <w:rsid w:val="002F5C35"/>
    <w:rsid w:val="00301F2A"/>
    <w:rsid w:val="00307968"/>
    <w:rsid w:val="003134B7"/>
    <w:rsid w:val="00315042"/>
    <w:rsid w:val="00315D1B"/>
    <w:rsid w:val="00325545"/>
    <w:rsid w:val="0032558A"/>
    <w:rsid w:val="00325707"/>
    <w:rsid w:val="00326EDF"/>
    <w:rsid w:val="00330404"/>
    <w:rsid w:val="00330600"/>
    <w:rsid w:val="00335A3D"/>
    <w:rsid w:val="00335E1A"/>
    <w:rsid w:val="003366F2"/>
    <w:rsid w:val="00340146"/>
    <w:rsid w:val="0034457E"/>
    <w:rsid w:val="0034512B"/>
    <w:rsid w:val="00350EA9"/>
    <w:rsid w:val="003521F6"/>
    <w:rsid w:val="00352279"/>
    <w:rsid w:val="0035489C"/>
    <w:rsid w:val="003641ED"/>
    <w:rsid w:val="00364A75"/>
    <w:rsid w:val="003650E1"/>
    <w:rsid w:val="00365923"/>
    <w:rsid w:val="00370F67"/>
    <w:rsid w:val="00372769"/>
    <w:rsid w:val="0038049B"/>
    <w:rsid w:val="00381142"/>
    <w:rsid w:val="003917DD"/>
    <w:rsid w:val="00392A14"/>
    <w:rsid w:val="00393C1D"/>
    <w:rsid w:val="00394D1A"/>
    <w:rsid w:val="00397562"/>
    <w:rsid w:val="003A7CC5"/>
    <w:rsid w:val="003B46AF"/>
    <w:rsid w:val="003B5824"/>
    <w:rsid w:val="003B5FA7"/>
    <w:rsid w:val="003B72EB"/>
    <w:rsid w:val="003C235A"/>
    <w:rsid w:val="003C5353"/>
    <w:rsid w:val="003C56D0"/>
    <w:rsid w:val="003C5FC6"/>
    <w:rsid w:val="003C6E8E"/>
    <w:rsid w:val="003C7BA2"/>
    <w:rsid w:val="003C7EB8"/>
    <w:rsid w:val="003D2A7D"/>
    <w:rsid w:val="003D5AB8"/>
    <w:rsid w:val="003E293C"/>
    <w:rsid w:val="003E3E55"/>
    <w:rsid w:val="003E519F"/>
    <w:rsid w:val="003E6F1B"/>
    <w:rsid w:val="003F1C56"/>
    <w:rsid w:val="003F4620"/>
    <w:rsid w:val="003F4C48"/>
    <w:rsid w:val="00401756"/>
    <w:rsid w:val="004050B7"/>
    <w:rsid w:val="00405725"/>
    <w:rsid w:val="00406A1C"/>
    <w:rsid w:val="00410F08"/>
    <w:rsid w:val="00411751"/>
    <w:rsid w:val="00411A8C"/>
    <w:rsid w:val="00411F2E"/>
    <w:rsid w:val="0041271E"/>
    <w:rsid w:val="00412A97"/>
    <w:rsid w:val="00414B50"/>
    <w:rsid w:val="00415015"/>
    <w:rsid w:val="00424645"/>
    <w:rsid w:val="00424C1C"/>
    <w:rsid w:val="00431948"/>
    <w:rsid w:val="004346D5"/>
    <w:rsid w:val="00435FC7"/>
    <w:rsid w:val="00436782"/>
    <w:rsid w:val="00436F81"/>
    <w:rsid w:val="0043713D"/>
    <w:rsid w:val="004373F4"/>
    <w:rsid w:val="00440A69"/>
    <w:rsid w:val="00441CE6"/>
    <w:rsid w:val="00444C70"/>
    <w:rsid w:val="004457E1"/>
    <w:rsid w:val="00445B39"/>
    <w:rsid w:val="004511A4"/>
    <w:rsid w:val="00453781"/>
    <w:rsid w:val="00455703"/>
    <w:rsid w:val="00456FA1"/>
    <w:rsid w:val="00461039"/>
    <w:rsid w:val="00461705"/>
    <w:rsid w:val="00463B30"/>
    <w:rsid w:val="00465C2D"/>
    <w:rsid w:val="0046657D"/>
    <w:rsid w:val="00471C6B"/>
    <w:rsid w:val="00471E0C"/>
    <w:rsid w:val="0047275D"/>
    <w:rsid w:val="00472ED5"/>
    <w:rsid w:val="0047300D"/>
    <w:rsid w:val="00473501"/>
    <w:rsid w:val="00474C40"/>
    <w:rsid w:val="00483500"/>
    <w:rsid w:val="00483824"/>
    <w:rsid w:val="004839E1"/>
    <w:rsid w:val="004847B7"/>
    <w:rsid w:val="00486853"/>
    <w:rsid w:val="00487D20"/>
    <w:rsid w:val="00490055"/>
    <w:rsid w:val="00490E3F"/>
    <w:rsid w:val="00491BD6"/>
    <w:rsid w:val="00492761"/>
    <w:rsid w:val="00494752"/>
    <w:rsid w:val="004975F4"/>
    <w:rsid w:val="004A32AD"/>
    <w:rsid w:val="004A4CE0"/>
    <w:rsid w:val="004A6775"/>
    <w:rsid w:val="004A7492"/>
    <w:rsid w:val="004A773D"/>
    <w:rsid w:val="004B252F"/>
    <w:rsid w:val="004B5334"/>
    <w:rsid w:val="004B53F2"/>
    <w:rsid w:val="004B5E8C"/>
    <w:rsid w:val="004C2116"/>
    <w:rsid w:val="004C2F79"/>
    <w:rsid w:val="004C43D4"/>
    <w:rsid w:val="004C6264"/>
    <w:rsid w:val="004C63F4"/>
    <w:rsid w:val="004C6E55"/>
    <w:rsid w:val="004C753F"/>
    <w:rsid w:val="004D1322"/>
    <w:rsid w:val="004D1399"/>
    <w:rsid w:val="004D19D1"/>
    <w:rsid w:val="004D4936"/>
    <w:rsid w:val="004D5FAD"/>
    <w:rsid w:val="004E17E2"/>
    <w:rsid w:val="004E29FE"/>
    <w:rsid w:val="004E3F5A"/>
    <w:rsid w:val="004E44D7"/>
    <w:rsid w:val="004E7B0A"/>
    <w:rsid w:val="004F0342"/>
    <w:rsid w:val="004F123D"/>
    <w:rsid w:val="004F162F"/>
    <w:rsid w:val="004F1ED0"/>
    <w:rsid w:val="004F5B21"/>
    <w:rsid w:val="004F65AB"/>
    <w:rsid w:val="005018D9"/>
    <w:rsid w:val="00501CD4"/>
    <w:rsid w:val="005040D6"/>
    <w:rsid w:val="005066DB"/>
    <w:rsid w:val="00511F5F"/>
    <w:rsid w:val="0051291C"/>
    <w:rsid w:val="005142FE"/>
    <w:rsid w:val="00517CAB"/>
    <w:rsid w:val="0052074B"/>
    <w:rsid w:val="005219B2"/>
    <w:rsid w:val="00522236"/>
    <w:rsid w:val="0052392A"/>
    <w:rsid w:val="0053021E"/>
    <w:rsid w:val="005303A5"/>
    <w:rsid w:val="00532F81"/>
    <w:rsid w:val="005330C5"/>
    <w:rsid w:val="0053560B"/>
    <w:rsid w:val="00535C41"/>
    <w:rsid w:val="005404E2"/>
    <w:rsid w:val="005436A3"/>
    <w:rsid w:val="0054645C"/>
    <w:rsid w:val="00550170"/>
    <w:rsid w:val="00554B9F"/>
    <w:rsid w:val="00557C89"/>
    <w:rsid w:val="00562C48"/>
    <w:rsid w:val="00564643"/>
    <w:rsid w:val="00567740"/>
    <w:rsid w:val="00567B1C"/>
    <w:rsid w:val="00567C30"/>
    <w:rsid w:val="00573200"/>
    <w:rsid w:val="005741F9"/>
    <w:rsid w:val="00574E14"/>
    <w:rsid w:val="0057538E"/>
    <w:rsid w:val="0057593E"/>
    <w:rsid w:val="00577676"/>
    <w:rsid w:val="00577994"/>
    <w:rsid w:val="0058104A"/>
    <w:rsid w:val="00582A6A"/>
    <w:rsid w:val="00590887"/>
    <w:rsid w:val="005961CF"/>
    <w:rsid w:val="005A07BD"/>
    <w:rsid w:val="005A1243"/>
    <w:rsid w:val="005A3003"/>
    <w:rsid w:val="005A47F4"/>
    <w:rsid w:val="005A51C4"/>
    <w:rsid w:val="005A5889"/>
    <w:rsid w:val="005B10AA"/>
    <w:rsid w:val="005B2C3F"/>
    <w:rsid w:val="005B3318"/>
    <w:rsid w:val="005B7633"/>
    <w:rsid w:val="005C259F"/>
    <w:rsid w:val="005C46F0"/>
    <w:rsid w:val="005C5733"/>
    <w:rsid w:val="005D0A69"/>
    <w:rsid w:val="005D19BC"/>
    <w:rsid w:val="005D2318"/>
    <w:rsid w:val="005D43E2"/>
    <w:rsid w:val="005D6CB4"/>
    <w:rsid w:val="005E1935"/>
    <w:rsid w:val="005E2D6C"/>
    <w:rsid w:val="005E5BE9"/>
    <w:rsid w:val="005E711C"/>
    <w:rsid w:val="005F26F5"/>
    <w:rsid w:val="005F3194"/>
    <w:rsid w:val="005F3658"/>
    <w:rsid w:val="005F51CB"/>
    <w:rsid w:val="005F76B3"/>
    <w:rsid w:val="005F7B12"/>
    <w:rsid w:val="00600711"/>
    <w:rsid w:val="006018F3"/>
    <w:rsid w:val="00601932"/>
    <w:rsid w:val="006056BD"/>
    <w:rsid w:val="00610FD2"/>
    <w:rsid w:val="0061354C"/>
    <w:rsid w:val="006174B1"/>
    <w:rsid w:val="006228E4"/>
    <w:rsid w:val="006231D5"/>
    <w:rsid w:val="0062533B"/>
    <w:rsid w:val="006276B1"/>
    <w:rsid w:val="00630AD6"/>
    <w:rsid w:val="006317DC"/>
    <w:rsid w:val="00631844"/>
    <w:rsid w:val="006318C8"/>
    <w:rsid w:val="00632E55"/>
    <w:rsid w:val="006331D5"/>
    <w:rsid w:val="00633C0C"/>
    <w:rsid w:val="00636228"/>
    <w:rsid w:val="00636A1A"/>
    <w:rsid w:val="00640C35"/>
    <w:rsid w:val="00651B52"/>
    <w:rsid w:val="00651CC9"/>
    <w:rsid w:val="00653545"/>
    <w:rsid w:val="00653728"/>
    <w:rsid w:val="006545FF"/>
    <w:rsid w:val="0065502E"/>
    <w:rsid w:val="006551C6"/>
    <w:rsid w:val="006551F7"/>
    <w:rsid w:val="006564FF"/>
    <w:rsid w:val="006567B6"/>
    <w:rsid w:val="00657013"/>
    <w:rsid w:val="00657107"/>
    <w:rsid w:val="00664954"/>
    <w:rsid w:val="006660A5"/>
    <w:rsid w:val="006770C3"/>
    <w:rsid w:val="0068098C"/>
    <w:rsid w:val="0068632D"/>
    <w:rsid w:val="00693930"/>
    <w:rsid w:val="00693FFE"/>
    <w:rsid w:val="00697D73"/>
    <w:rsid w:val="006A3255"/>
    <w:rsid w:val="006A387B"/>
    <w:rsid w:val="006B04AD"/>
    <w:rsid w:val="006B51FE"/>
    <w:rsid w:val="006C297B"/>
    <w:rsid w:val="006C6E20"/>
    <w:rsid w:val="006D3DAD"/>
    <w:rsid w:val="006E259C"/>
    <w:rsid w:val="006E287B"/>
    <w:rsid w:val="006E3CC9"/>
    <w:rsid w:val="006F18D0"/>
    <w:rsid w:val="006F4431"/>
    <w:rsid w:val="006F5454"/>
    <w:rsid w:val="006F57F6"/>
    <w:rsid w:val="006F6294"/>
    <w:rsid w:val="006F7BE1"/>
    <w:rsid w:val="00705ED7"/>
    <w:rsid w:val="00706227"/>
    <w:rsid w:val="007068C6"/>
    <w:rsid w:val="007070C8"/>
    <w:rsid w:val="0070712D"/>
    <w:rsid w:val="00707CB0"/>
    <w:rsid w:val="00710B2A"/>
    <w:rsid w:val="00712C2D"/>
    <w:rsid w:val="00712DE2"/>
    <w:rsid w:val="00714001"/>
    <w:rsid w:val="0071661D"/>
    <w:rsid w:val="00716739"/>
    <w:rsid w:val="00717418"/>
    <w:rsid w:val="007203E9"/>
    <w:rsid w:val="00721002"/>
    <w:rsid w:val="00721588"/>
    <w:rsid w:val="007226EE"/>
    <w:rsid w:val="0072419C"/>
    <w:rsid w:val="00724D9D"/>
    <w:rsid w:val="00726FA6"/>
    <w:rsid w:val="00731A45"/>
    <w:rsid w:val="00732DD9"/>
    <w:rsid w:val="00736FFC"/>
    <w:rsid w:val="00740C8F"/>
    <w:rsid w:val="00743AB3"/>
    <w:rsid w:val="00745D2B"/>
    <w:rsid w:val="007467E0"/>
    <w:rsid w:val="00750B9F"/>
    <w:rsid w:val="00756489"/>
    <w:rsid w:val="0075673B"/>
    <w:rsid w:val="00757457"/>
    <w:rsid w:val="00757560"/>
    <w:rsid w:val="00760B0B"/>
    <w:rsid w:val="007611A3"/>
    <w:rsid w:val="00761FD8"/>
    <w:rsid w:val="00762442"/>
    <w:rsid w:val="00762ED6"/>
    <w:rsid w:val="00766781"/>
    <w:rsid w:val="00767B8F"/>
    <w:rsid w:val="0077028B"/>
    <w:rsid w:val="00772F12"/>
    <w:rsid w:val="00773D1A"/>
    <w:rsid w:val="0078176E"/>
    <w:rsid w:val="00784B56"/>
    <w:rsid w:val="00785F04"/>
    <w:rsid w:val="00786284"/>
    <w:rsid w:val="00790C50"/>
    <w:rsid w:val="0079503D"/>
    <w:rsid w:val="007A0D1D"/>
    <w:rsid w:val="007A3D25"/>
    <w:rsid w:val="007A4AE1"/>
    <w:rsid w:val="007A5D5C"/>
    <w:rsid w:val="007B0563"/>
    <w:rsid w:val="007B200A"/>
    <w:rsid w:val="007B448C"/>
    <w:rsid w:val="007B5DE5"/>
    <w:rsid w:val="007B7D29"/>
    <w:rsid w:val="007B7FFE"/>
    <w:rsid w:val="007C4537"/>
    <w:rsid w:val="007C57BF"/>
    <w:rsid w:val="007C588A"/>
    <w:rsid w:val="007D075D"/>
    <w:rsid w:val="007D4A3E"/>
    <w:rsid w:val="007E023A"/>
    <w:rsid w:val="007E0284"/>
    <w:rsid w:val="007E1087"/>
    <w:rsid w:val="007E6AA4"/>
    <w:rsid w:val="007E6E48"/>
    <w:rsid w:val="007E752D"/>
    <w:rsid w:val="007F1521"/>
    <w:rsid w:val="007F3FFD"/>
    <w:rsid w:val="007F446D"/>
    <w:rsid w:val="007F4F66"/>
    <w:rsid w:val="007F542A"/>
    <w:rsid w:val="007F5798"/>
    <w:rsid w:val="0080237D"/>
    <w:rsid w:val="00802600"/>
    <w:rsid w:val="00804E65"/>
    <w:rsid w:val="00806C1D"/>
    <w:rsid w:val="008078D9"/>
    <w:rsid w:val="008102BC"/>
    <w:rsid w:val="00811311"/>
    <w:rsid w:val="00813821"/>
    <w:rsid w:val="00815173"/>
    <w:rsid w:val="0082194B"/>
    <w:rsid w:val="0082195A"/>
    <w:rsid w:val="00822137"/>
    <w:rsid w:val="00822EB6"/>
    <w:rsid w:val="00825437"/>
    <w:rsid w:val="00827C49"/>
    <w:rsid w:val="00835BB9"/>
    <w:rsid w:val="00835F53"/>
    <w:rsid w:val="0083612B"/>
    <w:rsid w:val="00840149"/>
    <w:rsid w:val="008424A3"/>
    <w:rsid w:val="00843221"/>
    <w:rsid w:val="00846DF1"/>
    <w:rsid w:val="00850C7D"/>
    <w:rsid w:val="00851DF3"/>
    <w:rsid w:val="00853A25"/>
    <w:rsid w:val="00853B16"/>
    <w:rsid w:val="00853DA5"/>
    <w:rsid w:val="00855C02"/>
    <w:rsid w:val="00857356"/>
    <w:rsid w:val="00863191"/>
    <w:rsid w:val="00863338"/>
    <w:rsid w:val="00863EAC"/>
    <w:rsid w:val="008645F4"/>
    <w:rsid w:val="00866FF9"/>
    <w:rsid w:val="008721C9"/>
    <w:rsid w:val="00875C0F"/>
    <w:rsid w:val="00876318"/>
    <w:rsid w:val="0088390A"/>
    <w:rsid w:val="008858CF"/>
    <w:rsid w:val="00886B10"/>
    <w:rsid w:val="00891651"/>
    <w:rsid w:val="008A0BBD"/>
    <w:rsid w:val="008A14C6"/>
    <w:rsid w:val="008A40A3"/>
    <w:rsid w:val="008B0CF3"/>
    <w:rsid w:val="008B3CD8"/>
    <w:rsid w:val="008B556B"/>
    <w:rsid w:val="008C0455"/>
    <w:rsid w:val="008C2E18"/>
    <w:rsid w:val="008C3574"/>
    <w:rsid w:val="008D524A"/>
    <w:rsid w:val="008E35EA"/>
    <w:rsid w:val="008E3DAF"/>
    <w:rsid w:val="008E3F86"/>
    <w:rsid w:val="008E6846"/>
    <w:rsid w:val="008E7196"/>
    <w:rsid w:val="008E7503"/>
    <w:rsid w:val="008F1FC5"/>
    <w:rsid w:val="008F34BF"/>
    <w:rsid w:val="008F4C3F"/>
    <w:rsid w:val="0090017E"/>
    <w:rsid w:val="009012FB"/>
    <w:rsid w:val="00903649"/>
    <w:rsid w:val="00905A5D"/>
    <w:rsid w:val="009061B7"/>
    <w:rsid w:val="00906404"/>
    <w:rsid w:val="00907337"/>
    <w:rsid w:val="009108F5"/>
    <w:rsid w:val="00910B66"/>
    <w:rsid w:val="00911D34"/>
    <w:rsid w:val="00911DCF"/>
    <w:rsid w:val="009130A4"/>
    <w:rsid w:val="0091357B"/>
    <w:rsid w:val="00914B92"/>
    <w:rsid w:val="00915468"/>
    <w:rsid w:val="00915DAC"/>
    <w:rsid w:val="009162F3"/>
    <w:rsid w:val="00916D81"/>
    <w:rsid w:val="00920759"/>
    <w:rsid w:val="00921402"/>
    <w:rsid w:val="00925AF8"/>
    <w:rsid w:val="00927FC1"/>
    <w:rsid w:val="00931A71"/>
    <w:rsid w:val="00931F32"/>
    <w:rsid w:val="0093250B"/>
    <w:rsid w:val="00934FAA"/>
    <w:rsid w:val="009409F7"/>
    <w:rsid w:val="00944116"/>
    <w:rsid w:val="009442FF"/>
    <w:rsid w:val="009445DC"/>
    <w:rsid w:val="00944B8A"/>
    <w:rsid w:val="00944BFA"/>
    <w:rsid w:val="00950FF5"/>
    <w:rsid w:val="00952E05"/>
    <w:rsid w:val="009550F1"/>
    <w:rsid w:val="0095538C"/>
    <w:rsid w:val="009555CB"/>
    <w:rsid w:val="00956C7D"/>
    <w:rsid w:val="00961E7F"/>
    <w:rsid w:val="00967539"/>
    <w:rsid w:val="0097056E"/>
    <w:rsid w:val="009739FE"/>
    <w:rsid w:val="0097565E"/>
    <w:rsid w:val="00975C85"/>
    <w:rsid w:val="00977D0E"/>
    <w:rsid w:val="0098161F"/>
    <w:rsid w:val="00982158"/>
    <w:rsid w:val="009854CF"/>
    <w:rsid w:val="00987681"/>
    <w:rsid w:val="009931AF"/>
    <w:rsid w:val="00993A4B"/>
    <w:rsid w:val="009957B6"/>
    <w:rsid w:val="009A0D4A"/>
    <w:rsid w:val="009A2692"/>
    <w:rsid w:val="009A3F2A"/>
    <w:rsid w:val="009A4263"/>
    <w:rsid w:val="009A4326"/>
    <w:rsid w:val="009A6D3D"/>
    <w:rsid w:val="009B1541"/>
    <w:rsid w:val="009B2EF0"/>
    <w:rsid w:val="009B341B"/>
    <w:rsid w:val="009C4A53"/>
    <w:rsid w:val="009C54C9"/>
    <w:rsid w:val="009C5545"/>
    <w:rsid w:val="009C58C7"/>
    <w:rsid w:val="009C5E9D"/>
    <w:rsid w:val="009C677B"/>
    <w:rsid w:val="009C6C1C"/>
    <w:rsid w:val="009D04D5"/>
    <w:rsid w:val="009E39D3"/>
    <w:rsid w:val="009F0A30"/>
    <w:rsid w:val="009F3EB4"/>
    <w:rsid w:val="009F3EF6"/>
    <w:rsid w:val="009F4C8E"/>
    <w:rsid w:val="009F6579"/>
    <w:rsid w:val="009F6AFF"/>
    <w:rsid w:val="009F7FEB"/>
    <w:rsid w:val="00A00900"/>
    <w:rsid w:val="00A02F5F"/>
    <w:rsid w:val="00A0421A"/>
    <w:rsid w:val="00A050B7"/>
    <w:rsid w:val="00A133DD"/>
    <w:rsid w:val="00A14BE1"/>
    <w:rsid w:val="00A14D4E"/>
    <w:rsid w:val="00A15A9C"/>
    <w:rsid w:val="00A15F3E"/>
    <w:rsid w:val="00A1701E"/>
    <w:rsid w:val="00A20FCE"/>
    <w:rsid w:val="00A21016"/>
    <w:rsid w:val="00A26326"/>
    <w:rsid w:val="00A31AEF"/>
    <w:rsid w:val="00A33AD1"/>
    <w:rsid w:val="00A45181"/>
    <w:rsid w:val="00A50087"/>
    <w:rsid w:val="00A53657"/>
    <w:rsid w:val="00A539BF"/>
    <w:rsid w:val="00A55E04"/>
    <w:rsid w:val="00A57E5E"/>
    <w:rsid w:val="00A619A6"/>
    <w:rsid w:val="00A62F9C"/>
    <w:rsid w:val="00A71DC1"/>
    <w:rsid w:val="00A773AE"/>
    <w:rsid w:val="00A80F2D"/>
    <w:rsid w:val="00A84834"/>
    <w:rsid w:val="00A8681C"/>
    <w:rsid w:val="00A91789"/>
    <w:rsid w:val="00A93077"/>
    <w:rsid w:val="00A94FCC"/>
    <w:rsid w:val="00A951A9"/>
    <w:rsid w:val="00A95829"/>
    <w:rsid w:val="00AA091D"/>
    <w:rsid w:val="00AA2F5A"/>
    <w:rsid w:val="00AA3307"/>
    <w:rsid w:val="00AB1532"/>
    <w:rsid w:val="00AB2A5E"/>
    <w:rsid w:val="00AB5CBC"/>
    <w:rsid w:val="00AB6269"/>
    <w:rsid w:val="00AC1434"/>
    <w:rsid w:val="00AC23BF"/>
    <w:rsid w:val="00AC45B4"/>
    <w:rsid w:val="00AC7F75"/>
    <w:rsid w:val="00AD3037"/>
    <w:rsid w:val="00AD3C4C"/>
    <w:rsid w:val="00AE10E5"/>
    <w:rsid w:val="00AE2EB9"/>
    <w:rsid w:val="00AF251E"/>
    <w:rsid w:val="00B04E63"/>
    <w:rsid w:val="00B07EC5"/>
    <w:rsid w:val="00B108F1"/>
    <w:rsid w:val="00B10C9C"/>
    <w:rsid w:val="00B13497"/>
    <w:rsid w:val="00B13EDC"/>
    <w:rsid w:val="00B23285"/>
    <w:rsid w:val="00B249C4"/>
    <w:rsid w:val="00B262BA"/>
    <w:rsid w:val="00B269C8"/>
    <w:rsid w:val="00B303D9"/>
    <w:rsid w:val="00B31AED"/>
    <w:rsid w:val="00B31D27"/>
    <w:rsid w:val="00B33C4D"/>
    <w:rsid w:val="00B34C53"/>
    <w:rsid w:val="00B3528D"/>
    <w:rsid w:val="00B357B6"/>
    <w:rsid w:val="00B3669D"/>
    <w:rsid w:val="00B40501"/>
    <w:rsid w:val="00B464E9"/>
    <w:rsid w:val="00B4770B"/>
    <w:rsid w:val="00B5573F"/>
    <w:rsid w:val="00B57B48"/>
    <w:rsid w:val="00B61C3C"/>
    <w:rsid w:val="00B755B8"/>
    <w:rsid w:val="00B7690F"/>
    <w:rsid w:val="00B83D4A"/>
    <w:rsid w:val="00B87326"/>
    <w:rsid w:val="00B90A1B"/>
    <w:rsid w:val="00B93C12"/>
    <w:rsid w:val="00B96F0B"/>
    <w:rsid w:val="00BA03CD"/>
    <w:rsid w:val="00BA2F46"/>
    <w:rsid w:val="00BA5D33"/>
    <w:rsid w:val="00BA6051"/>
    <w:rsid w:val="00BA65DD"/>
    <w:rsid w:val="00BB3C22"/>
    <w:rsid w:val="00BB3E2B"/>
    <w:rsid w:val="00BB40DE"/>
    <w:rsid w:val="00BB5D05"/>
    <w:rsid w:val="00BB63AB"/>
    <w:rsid w:val="00BB76D0"/>
    <w:rsid w:val="00BB7C62"/>
    <w:rsid w:val="00BC169A"/>
    <w:rsid w:val="00BC27B8"/>
    <w:rsid w:val="00BC3261"/>
    <w:rsid w:val="00BC47BB"/>
    <w:rsid w:val="00BC7550"/>
    <w:rsid w:val="00BD4D53"/>
    <w:rsid w:val="00BD5365"/>
    <w:rsid w:val="00BD6504"/>
    <w:rsid w:val="00BD7157"/>
    <w:rsid w:val="00BD77E3"/>
    <w:rsid w:val="00BE243A"/>
    <w:rsid w:val="00BE28F7"/>
    <w:rsid w:val="00BE61C6"/>
    <w:rsid w:val="00BF0706"/>
    <w:rsid w:val="00BF1B63"/>
    <w:rsid w:val="00BF476D"/>
    <w:rsid w:val="00C010D6"/>
    <w:rsid w:val="00C05E78"/>
    <w:rsid w:val="00C1117F"/>
    <w:rsid w:val="00C11B6F"/>
    <w:rsid w:val="00C20FEC"/>
    <w:rsid w:val="00C22B66"/>
    <w:rsid w:val="00C2546E"/>
    <w:rsid w:val="00C25D3E"/>
    <w:rsid w:val="00C31B84"/>
    <w:rsid w:val="00C3449D"/>
    <w:rsid w:val="00C409C3"/>
    <w:rsid w:val="00C415EB"/>
    <w:rsid w:val="00C41A46"/>
    <w:rsid w:val="00C50724"/>
    <w:rsid w:val="00C54A1C"/>
    <w:rsid w:val="00C556DA"/>
    <w:rsid w:val="00C55AC1"/>
    <w:rsid w:val="00C55F47"/>
    <w:rsid w:val="00C571EE"/>
    <w:rsid w:val="00C57C8E"/>
    <w:rsid w:val="00C60F1F"/>
    <w:rsid w:val="00C62FB1"/>
    <w:rsid w:val="00C656F9"/>
    <w:rsid w:val="00C662AC"/>
    <w:rsid w:val="00C674F3"/>
    <w:rsid w:val="00C71369"/>
    <w:rsid w:val="00C72732"/>
    <w:rsid w:val="00C73D48"/>
    <w:rsid w:val="00C7604B"/>
    <w:rsid w:val="00C77080"/>
    <w:rsid w:val="00C77B1E"/>
    <w:rsid w:val="00C81F92"/>
    <w:rsid w:val="00C90707"/>
    <w:rsid w:val="00C92238"/>
    <w:rsid w:val="00C9541D"/>
    <w:rsid w:val="00CA1B9F"/>
    <w:rsid w:val="00CA2D0B"/>
    <w:rsid w:val="00CA46F5"/>
    <w:rsid w:val="00CA4F59"/>
    <w:rsid w:val="00CB19D7"/>
    <w:rsid w:val="00CB2CD9"/>
    <w:rsid w:val="00CB4C7D"/>
    <w:rsid w:val="00CC076D"/>
    <w:rsid w:val="00CC29C9"/>
    <w:rsid w:val="00CC3D94"/>
    <w:rsid w:val="00CC57F4"/>
    <w:rsid w:val="00CC7B17"/>
    <w:rsid w:val="00CD0773"/>
    <w:rsid w:val="00CD3BF0"/>
    <w:rsid w:val="00CD3C3E"/>
    <w:rsid w:val="00CD62D3"/>
    <w:rsid w:val="00CD7EC9"/>
    <w:rsid w:val="00CE3683"/>
    <w:rsid w:val="00CE5EE2"/>
    <w:rsid w:val="00D00B29"/>
    <w:rsid w:val="00D07453"/>
    <w:rsid w:val="00D07BFF"/>
    <w:rsid w:val="00D11CE6"/>
    <w:rsid w:val="00D130C5"/>
    <w:rsid w:val="00D138CD"/>
    <w:rsid w:val="00D15063"/>
    <w:rsid w:val="00D16C86"/>
    <w:rsid w:val="00D226A1"/>
    <w:rsid w:val="00D269E4"/>
    <w:rsid w:val="00D279D2"/>
    <w:rsid w:val="00D30715"/>
    <w:rsid w:val="00D34AC2"/>
    <w:rsid w:val="00D40126"/>
    <w:rsid w:val="00D432FF"/>
    <w:rsid w:val="00D442DF"/>
    <w:rsid w:val="00D45008"/>
    <w:rsid w:val="00D46265"/>
    <w:rsid w:val="00D4705B"/>
    <w:rsid w:val="00D501C9"/>
    <w:rsid w:val="00D52831"/>
    <w:rsid w:val="00D55ADE"/>
    <w:rsid w:val="00D55C44"/>
    <w:rsid w:val="00D57018"/>
    <w:rsid w:val="00D611C3"/>
    <w:rsid w:val="00D623CD"/>
    <w:rsid w:val="00D631E0"/>
    <w:rsid w:val="00D64A4C"/>
    <w:rsid w:val="00D65B1F"/>
    <w:rsid w:val="00D67901"/>
    <w:rsid w:val="00D67F6D"/>
    <w:rsid w:val="00D7174F"/>
    <w:rsid w:val="00D734AA"/>
    <w:rsid w:val="00D735F4"/>
    <w:rsid w:val="00D73CEB"/>
    <w:rsid w:val="00D74FDD"/>
    <w:rsid w:val="00D7522F"/>
    <w:rsid w:val="00D765A5"/>
    <w:rsid w:val="00D76EB3"/>
    <w:rsid w:val="00D7788E"/>
    <w:rsid w:val="00D81B19"/>
    <w:rsid w:val="00D85D61"/>
    <w:rsid w:val="00D86F92"/>
    <w:rsid w:val="00D91DD7"/>
    <w:rsid w:val="00D9392C"/>
    <w:rsid w:val="00D97E83"/>
    <w:rsid w:val="00DA3CAC"/>
    <w:rsid w:val="00DB3BCB"/>
    <w:rsid w:val="00DB4F5C"/>
    <w:rsid w:val="00DB5D7F"/>
    <w:rsid w:val="00DB7789"/>
    <w:rsid w:val="00DB7E35"/>
    <w:rsid w:val="00DC0309"/>
    <w:rsid w:val="00DC0FF1"/>
    <w:rsid w:val="00DC2D08"/>
    <w:rsid w:val="00DC5C8C"/>
    <w:rsid w:val="00DC78F1"/>
    <w:rsid w:val="00DD1A2C"/>
    <w:rsid w:val="00DD1BAA"/>
    <w:rsid w:val="00DD3302"/>
    <w:rsid w:val="00DD5359"/>
    <w:rsid w:val="00DE0ADE"/>
    <w:rsid w:val="00DE1039"/>
    <w:rsid w:val="00DE23E9"/>
    <w:rsid w:val="00DE46BC"/>
    <w:rsid w:val="00DE617A"/>
    <w:rsid w:val="00DF0C97"/>
    <w:rsid w:val="00DF2761"/>
    <w:rsid w:val="00DF338E"/>
    <w:rsid w:val="00DF3F74"/>
    <w:rsid w:val="00DF627D"/>
    <w:rsid w:val="00DF64E9"/>
    <w:rsid w:val="00DF708A"/>
    <w:rsid w:val="00E01DB5"/>
    <w:rsid w:val="00E021EA"/>
    <w:rsid w:val="00E04388"/>
    <w:rsid w:val="00E0705A"/>
    <w:rsid w:val="00E07CC0"/>
    <w:rsid w:val="00E107A4"/>
    <w:rsid w:val="00E14BA9"/>
    <w:rsid w:val="00E1584D"/>
    <w:rsid w:val="00E20506"/>
    <w:rsid w:val="00E215D4"/>
    <w:rsid w:val="00E3061A"/>
    <w:rsid w:val="00E31730"/>
    <w:rsid w:val="00E31E6E"/>
    <w:rsid w:val="00E33DA6"/>
    <w:rsid w:val="00E350F4"/>
    <w:rsid w:val="00E35240"/>
    <w:rsid w:val="00E37884"/>
    <w:rsid w:val="00E404AA"/>
    <w:rsid w:val="00E40835"/>
    <w:rsid w:val="00E41E64"/>
    <w:rsid w:val="00E437F8"/>
    <w:rsid w:val="00E47262"/>
    <w:rsid w:val="00E52D21"/>
    <w:rsid w:val="00E53E1B"/>
    <w:rsid w:val="00E552DF"/>
    <w:rsid w:val="00E560BD"/>
    <w:rsid w:val="00E6025E"/>
    <w:rsid w:val="00E6121F"/>
    <w:rsid w:val="00E6133B"/>
    <w:rsid w:val="00E61561"/>
    <w:rsid w:val="00E61C8F"/>
    <w:rsid w:val="00E64A7D"/>
    <w:rsid w:val="00E652B2"/>
    <w:rsid w:val="00E66F90"/>
    <w:rsid w:val="00E71F3B"/>
    <w:rsid w:val="00E720BA"/>
    <w:rsid w:val="00E72185"/>
    <w:rsid w:val="00E74383"/>
    <w:rsid w:val="00E74DB7"/>
    <w:rsid w:val="00E76E3B"/>
    <w:rsid w:val="00E82CE8"/>
    <w:rsid w:val="00E82F6A"/>
    <w:rsid w:val="00E866D3"/>
    <w:rsid w:val="00E86841"/>
    <w:rsid w:val="00E8787E"/>
    <w:rsid w:val="00E9298C"/>
    <w:rsid w:val="00E93B90"/>
    <w:rsid w:val="00E94F27"/>
    <w:rsid w:val="00E96E1E"/>
    <w:rsid w:val="00EA3260"/>
    <w:rsid w:val="00EA6E4A"/>
    <w:rsid w:val="00EB277D"/>
    <w:rsid w:val="00EB4416"/>
    <w:rsid w:val="00EB626A"/>
    <w:rsid w:val="00EC127A"/>
    <w:rsid w:val="00EC30AE"/>
    <w:rsid w:val="00EC3240"/>
    <w:rsid w:val="00ED3553"/>
    <w:rsid w:val="00ED3809"/>
    <w:rsid w:val="00ED6E0D"/>
    <w:rsid w:val="00EE759E"/>
    <w:rsid w:val="00EF0F8A"/>
    <w:rsid w:val="00EF4658"/>
    <w:rsid w:val="00EF48DC"/>
    <w:rsid w:val="00EF7F8E"/>
    <w:rsid w:val="00F02C96"/>
    <w:rsid w:val="00F03456"/>
    <w:rsid w:val="00F044A3"/>
    <w:rsid w:val="00F114F0"/>
    <w:rsid w:val="00F119BB"/>
    <w:rsid w:val="00F12F86"/>
    <w:rsid w:val="00F152D8"/>
    <w:rsid w:val="00F1592B"/>
    <w:rsid w:val="00F17825"/>
    <w:rsid w:val="00F2470C"/>
    <w:rsid w:val="00F2513D"/>
    <w:rsid w:val="00F2717D"/>
    <w:rsid w:val="00F3121D"/>
    <w:rsid w:val="00F329BA"/>
    <w:rsid w:val="00F33893"/>
    <w:rsid w:val="00F34332"/>
    <w:rsid w:val="00F34569"/>
    <w:rsid w:val="00F34698"/>
    <w:rsid w:val="00F3598C"/>
    <w:rsid w:val="00F35BC2"/>
    <w:rsid w:val="00F37BDB"/>
    <w:rsid w:val="00F41924"/>
    <w:rsid w:val="00F4227C"/>
    <w:rsid w:val="00F5086B"/>
    <w:rsid w:val="00F52E6F"/>
    <w:rsid w:val="00F52EFC"/>
    <w:rsid w:val="00F5487F"/>
    <w:rsid w:val="00F56549"/>
    <w:rsid w:val="00F569F3"/>
    <w:rsid w:val="00F56BFD"/>
    <w:rsid w:val="00F57362"/>
    <w:rsid w:val="00F57EF0"/>
    <w:rsid w:val="00F616CB"/>
    <w:rsid w:val="00F62970"/>
    <w:rsid w:val="00F6637D"/>
    <w:rsid w:val="00F7246B"/>
    <w:rsid w:val="00F75E82"/>
    <w:rsid w:val="00F772CA"/>
    <w:rsid w:val="00F86851"/>
    <w:rsid w:val="00F91BEF"/>
    <w:rsid w:val="00F96BDA"/>
    <w:rsid w:val="00FA09E9"/>
    <w:rsid w:val="00FB2810"/>
    <w:rsid w:val="00FB4C71"/>
    <w:rsid w:val="00FB5559"/>
    <w:rsid w:val="00FB624B"/>
    <w:rsid w:val="00FC3EA3"/>
    <w:rsid w:val="00FC5D5E"/>
    <w:rsid w:val="00FC617F"/>
    <w:rsid w:val="00FC7D95"/>
    <w:rsid w:val="00FD031F"/>
    <w:rsid w:val="00FD100C"/>
    <w:rsid w:val="00FD1FC6"/>
    <w:rsid w:val="00FD2438"/>
    <w:rsid w:val="00FD615F"/>
    <w:rsid w:val="00FE0A70"/>
    <w:rsid w:val="00FE35DD"/>
    <w:rsid w:val="00FE46B9"/>
    <w:rsid w:val="00FE5054"/>
    <w:rsid w:val="00FE5548"/>
    <w:rsid w:val="00FE6FCF"/>
    <w:rsid w:val="00FE799D"/>
    <w:rsid w:val="00FF0193"/>
    <w:rsid w:val="00FF347A"/>
    <w:rsid w:val="00FF37AC"/>
    <w:rsid w:val="00FF4E7A"/>
    <w:rsid w:val="00FF5A47"/>
    <w:rsid w:val="00FF7CD1"/>
    <w:rsid w:val="1943BFEF"/>
    <w:rsid w:val="1ADF9050"/>
    <w:rsid w:val="2C997201"/>
    <w:rsid w:val="3308B385"/>
    <w:rsid w:val="3B0F19B6"/>
    <w:rsid w:val="4C662EEB"/>
    <w:rsid w:val="55923DB3"/>
    <w:rsid w:val="5C5457F9"/>
    <w:rsid w:val="65B5A140"/>
    <w:rsid w:val="662210A3"/>
    <w:rsid w:val="6AC586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95A8CE"/>
  <w15:chartTrackingRefBased/>
  <w15:docId w15:val="{F1EFFD9A-236E-4A3F-9D26-94D951BED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ro-RO"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03A"/>
    <w:pPr>
      <w:spacing w:line="300" w:lineRule="atLeast"/>
      <w:jc w:val="both"/>
    </w:pPr>
    <w:rPr>
      <w:rFonts w:ascii="Arial" w:hAnsi="Arial"/>
      <w:sz w:val="22"/>
      <w:szCs w:val="24"/>
      <w:lang w:eastAsia="zh-TW"/>
    </w:rPr>
  </w:style>
  <w:style w:type="paragraph" w:styleId="Heading1">
    <w:name w:val="heading 1"/>
    <w:basedOn w:val="Normal"/>
    <w:next w:val="Normal"/>
    <w:qFormat/>
    <w:rsid w:val="000A203A"/>
    <w:pPr>
      <w:keepNext/>
      <w:spacing w:before="240" w:after="60"/>
      <w:outlineLvl w:val="0"/>
    </w:pPr>
    <w:rPr>
      <w:rFonts w:ascii="Arial (W1)" w:hAnsi="Arial (W1)" w:cs="Arial (W1)"/>
      <w:b/>
      <w:bCs/>
      <w:color w:val="E63C14"/>
      <w:kern w:val="32"/>
      <w:szCs w:val="32"/>
      <w:u w:val="single"/>
    </w:rPr>
  </w:style>
  <w:style w:type="paragraph" w:styleId="Heading2">
    <w:name w:val="heading 2"/>
    <w:basedOn w:val="Normal"/>
    <w:next w:val="Normal"/>
    <w:link w:val="Heading2Char"/>
    <w:semiHidden/>
    <w:unhideWhenUsed/>
    <w:qFormat/>
    <w:rsid w:val="00BC169A"/>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semiHidden/>
    <w:unhideWhenUsed/>
    <w:qFormat/>
    <w:rsid w:val="00BC169A"/>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A203A"/>
  </w:style>
  <w:style w:type="paragraph" w:styleId="Header">
    <w:name w:val="header"/>
    <w:basedOn w:val="Normal"/>
    <w:rsid w:val="00265144"/>
    <w:pPr>
      <w:tabs>
        <w:tab w:val="center" w:pos="4536"/>
        <w:tab w:val="right" w:pos="9072"/>
      </w:tabs>
    </w:pPr>
  </w:style>
  <w:style w:type="paragraph" w:styleId="Footer">
    <w:name w:val="footer"/>
    <w:basedOn w:val="Normal"/>
    <w:rsid w:val="00265144"/>
    <w:pPr>
      <w:tabs>
        <w:tab w:val="center" w:pos="4536"/>
        <w:tab w:val="right" w:pos="9072"/>
      </w:tabs>
    </w:pPr>
  </w:style>
  <w:style w:type="table" w:styleId="TableGrid">
    <w:name w:val="Table Grid"/>
    <w:basedOn w:val="TableNormal"/>
    <w:rsid w:val="00492761"/>
    <w:pPr>
      <w:spacing w:line="30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63F4"/>
    <w:pPr>
      <w:spacing w:before="100" w:beforeAutospacing="1" w:after="100" w:afterAutospacing="1" w:line="240" w:lineRule="auto"/>
      <w:jc w:val="left"/>
    </w:pPr>
    <w:rPr>
      <w:rFonts w:ascii="Times New Roman" w:eastAsia="Times New Roman" w:hAnsi="Times New Roman"/>
      <w:sz w:val="24"/>
      <w:lang w:eastAsia="fr-FR"/>
    </w:rPr>
  </w:style>
  <w:style w:type="paragraph" w:customStyle="1" w:styleId="Default">
    <w:name w:val="Default"/>
    <w:rsid w:val="003B46AF"/>
    <w:pPr>
      <w:autoSpaceDE w:val="0"/>
      <w:autoSpaceDN w:val="0"/>
      <w:adjustRightInd w:val="0"/>
    </w:pPr>
    <w:rPr>
      <w:rFonts w:ascii="Trebuchet MS" w:hAnsi="Trebuchet MS" w:cs="Trebuchet MS"/>
      <w:color w:val="000000"/>
      <w:sz w:val="24"/>
      <w:szCs w:val="24"/>
      <w:lang w:eastAsia="fr-FR"/>
    </w:rPr>
  </w:style>
  <w:style w:type="paragraph" w:styleId="ListParagraph">
    <w:name w:val="List Paragraph"/>
    <w:aliases w:val="MAP,Bullet List,FooterText,Párrafo de lista,List Paragraph1,numbered,Paragraphe de liste1,Bulletr List Paragraph,列出段落,列出段落1,List Paragraph2,List Paragraph21,List Paragraph11,Parágrafo da Lista1,Párrafo de lista1,リスト段落1"/>
    <w:basedOn w:val="Normal"/>
    <w:link w:val="ListParagraphChar"/>
    <w:uiPriority w:val="34"/>
    <w:qFormat/>
    <w:rsid w:val="002C57FF"/>
    <w:pPr>
      <w:spacing w:line="240" w:lineRule="auto"/>
      <w:ind w:left="720"/>
      <w:jc w:val="left"/>
    </w:pPr>
    <w:rPr>
      <w:rFonts w:ascii="Times New Roman" w:eastAsia="Calibri" w:hAnsi="Times New Roman"/>
      <w:sz w:val="24"/>
      <w:lang w:eastAsia="fr-FR"/>
    </w:rPr>
  </w:style>
  <w:style w:type="paragraph" w:customStyle="1" w:styleId="StyleAvant6ptInterligneAumoins18pt">
    <w:name w:val="Style Avant : 6 pt Interligne : Au moins 18 pt"/>
    <w:basedOn w:val="Normal"/>
    <w:rsid w:val="009C58C7"/>
    <w:pPr>
      <w:spacing w:before="120" w:line="360" w:lineRule="atLeast"/>
    </w:pPr>
    <w:rPr>
      <w:rFonts w:ascii="Century Gothic" w:eastAsia="Times New Roman" w:hAnsi="Century Gothic" w:cs="Century Gothic"/>
      <w:color w:val="727A7D"/>
      <w:sz w:val="24"/>
      <w:lang w:eastAsia="fr-FR"/>
    </w:rPr>
  </w:style>
  <w:style w:type="paragraph" w:customStyle="1" w:styleId="msolistparagraph0">
    <w:name w:val="msolistparagraph"/>
    <w:basedOn w:val="Normal"/>
    <w:rsid w:val="00E14BA9"/>
    <w:pPr>
      <w:spacing w:line="240" w:lineRule="auto"/>
      <w:ind w:left="720"/>
      <w:jc w:val="left"/>
    </w:pPr>
    <w:rPr>
      <w:rFonts w:ascii="Calibri" w:eastAsia="Times New Roman" w:hAnsi="Calibri" w:cs="Calibri"/>
      <w:szCs w:val="22"/>
      <w:lang w:eastAsia="fr-FR"/>
    </w:rPr>
  </w:style>
  <w:style w:type="paragraph" w:styleId="BalloonText">
    <w:name w:val="Balloon Text"/>
    <w:basedOn w:val="Normal"/>
    <w:link w:val="BalloonTextChar"/>
    <w:rsid w:val="00600711"/>
    <w:pPr>
      <w:spacing w:line="240" w:lineRule="auto"/>
    </w:pPr>
    <w:rPr>
      <w:rFonts w:ascii="Tahoma" w:hAnsi="Tahoma" w:cs="Tahoma"/>
      <w:sz w:val="16"/>
      <w:szCs w:val="16"/>
    </w:rPr>
  </w:style>
  <w:style w:type="character" w:customStyle="1" w:styleId="BalloonTextChar">
    <w:name w:val="Balloon Text Char"/>
    <w:link w:val="BalloonText"/>
    <w:rsid w:val="00600711"/>
    <w:rPr>
      <w:rFonts w:ascii="Tahoma" w:hAnsi="Tahoma" w:cs="Tahoma"/>
      <w:sz w:val="16"/>
      <w:szCs w:val="16"/>
      <w:lang w:eastAsia="zh-TW"/>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rsid w:val="000331F4"/>
    <w:rPr>
      <w:rFonts w:ascii="Arial" w:hAnsi="Arial"/>
      <w:lang w:eastAsia="zh-TW"/>
    </w:rPr>
  </w:style>
  <w:style w:type="paragraph" w:styleId="CommentSubject">
    <w:name w:val="annotation subject"/>
    <w:basedOn w:val="CommentText"/>
    <w:next w:val="CommentText"/>
    <w:link w:val="CommentSubjectChar"/>
    <w:rsid w:val="000331F4"/>
    <w:rPr>
      <w:b/>
      <w:bCs/>
    </w:rPr>
  </w:style>
  <w:style w:type="character" w:customStyle="1" w:styleId="CommentSubjectChar">
    <w:name w:val="Comment Subject Char"/>
    <w:link w:val="CommentSubject"/>
    <w:rsid w:val="000331F4"/>
    <w:rPr>
      <w:rFonts w:ascii="Arial" w:hAnsi="Arial"/>
      <w:b/>
      <w:bCs/>
      <w:lang w:eastAsia="zh-TW"/>
    </w:rPr>
  </w:style>
  <w:style w:type="paragraph" w:customStyle="1" w:styleId="Corps-1-Attention">
    <w:name w:val="Corps-1-Attention"/>
    <w:basedOn w:val="Normal"/>
    <w:rsid w:val="00BC169A"/>
    <w:pPr>
      <w:pBdr>
        <w:top w:val="single" w:sz="4" w:space="1" w:color="auto" w:shadow="1"/>
        <w:left w:val="single" w:sz="4" w:space="4" w:color="auto" w:shadow="1"/>
        <w:bottom w:val="single" w:sz="4" w:space="1" w:color="auto" w:shadow="1"/>
        <w:right w:val="single" w:sz="4" w:space="4" w:color="auto" w:shadow="1"/>
      </w:pBdr>
      <w:tabs>
        <w:tab w:val="num" w:pos="720"/>
      </w:tabs>
      <w:spacing w:line="240" w:lineRule="auto"/>
      <w:ind w:left="720" w:hanging="360"/>
    </w:pPr>
    <w:rPr>
      <w:rFonts w:eastAsia="Times New Roman" w:cs="Arial"/>
      <w:szCs w:val="22"/>
      <w:lang w:eastAsia="fr-FR"/>
    </w:rPr>
  </w:style>
  <w:style w:type="character" w:customStyle="1" w:styleId="Heading2Char">
    <w:name w:val="Heading 2 Char"/>
    <w:link w:val="Heading2"/>
    <w:semiHidden/>
    <w:rsid w:val="00BC169A"/>
    <w:rPr>
      <w:rFonts w:ascii="Calibri Light" w:eastAsia="Times New Roman" w:hAnsi="Calibri Light" w:cs="Times New Roman"/>
      <w:b/>
      <w:bCs/>
      <w:i/>
      <w:iCs/>
      <w:sz w:val="28"/>
      <w:szCs w:val="28"/>
      <w:lang w:eastAsia="zh-TW"/>
    </w:rPr>
  </w:style>
  <w:style w:type="character" w:customStyle="1" w:styleId="Heading3Char">
    <w:name w:val="Heading 3 Char"/>
    <w:link w:val="Heading3"/>
    <w:semiHidden/>
    <w:rsid w:val="00BC169A"/>
    <w:rPr>
      <w:rFonts w:ascii="Calibri Light" w:eastAsia="Times New Roman" w:hAnsi="Calibri Light" w:cs="Times New Roman"/>
      <w:b/>
      <w:bCs/>
      <w:sz w:val="26"/>
      <w:szCs w:val="26"/>
      <w:lang w:eastAsia="zh-TW"/>
    </w:rPr>
  </w:style>
  <w:style w:type="character" w:styleId="Hyperlink">
    <w:name w:val="Hyperlink"/>
    <w:rsid w:val="00BC7550"/>
    <w:rPr>
      <w:color w:val="0563C1"/>
      <w:u w:val="single"/>
    </w:rPr>
  </w:style>
  <w:style w:type="character" w:customStyle="1" w:styleId="Mentionnonrsolue1">
    <w:name w:val="Mention non résolue1"/>
    <w:uiPriority w:val="99"/>
    <w:semiHidden/>
    <w:unhideWhenUsed/>
    <w:rsid w:val="00BC7550"/>
    <w:rPr>
      <w:color w:val="605E5C"/>
      <w:shd w:val="clear" w:color="auto" w:fill="E1DFDD"/>
    </w:rPr>
  </w:style>
  <w:style w:type="character" w:customStyle="1" w:styleId="ListParagraphChar">
    <w:name w:val="List Paragraph Char"/>
    <w:aliases w:val="MAP Char,Bullet List Char,FooterText Char,Párrafo de lista Char,List Paragraph1 Char,numbered Char,Paragraphe de liste1 Char,Bulletr List Paragraph Char,列出段落 Char,列出段落1 Char,List Paragraph2 Char,List Paragraph21 Char,リスト段落1 Char"/>
    <w:basedOn w:val="DefaultParagraphFont"/>
    <w:link w:val="ListParagraph"/>
    <w:uiPriority w:val="99"/>
    <w:locked/>
    <w:rsid w:val="000C4994"/>
    <w:rPr>
      <w:rFonts w:eastAsia="Calibri"/>
      <w:sz w:val="24"/>
      <w:szCs w:val="24"/>
      <w:lang w:val="ro-RO" w:eastAsia="fr-FR"/>
    </w:rPr>
  </w:style>
  <w:style w:type="paragraph" w:styleId="Revision">
    <w:name w:val="Revision"/>
    <w:hidden/>
    <w:uiPriority w:val="99"/>
    <w:semiHidden/>
    <w:rsid w:val="006276B1"/>
    <w:rPr>
      <w:rFonts w:ascii="Arial" w:hAnsi="Arial"/>
      <w:sz w:val="22"/>
      <w:szCs w:val="24"/>
      <w:lang w:eastAsia="zh-TW"/>
    </w:rPr>
  </w:style>
  <w:style w:type="character" w:customStyle="1" w:styleId="Mentionnonrsolue2">
    <w:name w:val="Mention non résolue2"/>
    <w:basedOn w:val="DefaultParagraphFont"/>
    <w:uiPriority w:val="99"/>
    <w:unhideWhenUsed/>
    <w:rsid w:val="00D611C3"/>
    <w:rPr>
      <w:color w:val="605E5C"/>
      <w:shd w:val="clear" w:color="auto" w:fill="E1DFDD"/>
    </w:rPr>
  </w:style>
  <w:style w:type="character" w:customStyle="1" w:styleId="Mention1">
    <w:name w:val="Mention1"/>
    <w:basedOn w:val="DefaultParagraphFont"/>
    <w:uiPriority w:val="99"/>
    <w:unhideWhenUsed/>
    <w:rsid w:val="00D611C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1905">
      <w:bodyDiv w:val="1"/>
      <w:marLeft w:val="0"/>
      <w:marRight w:val="0"/>
      <w:marTop w:val="0"/>
      <w:marBottom w:val="0"/>
      <w:divBdr>
        <w:top w:val="none" w:sz="0" w:space="0" w:color="auto"/>
        <w:left w:val="none" w:sz="0" w:space="0" w:color="auto"/>
        <w:bottom w:val="none" w:sz="0" w:space="0" w:color="auto"/>
        <w:right w:val="none" w:sz="0" w:space="0" w:color="auto"/>
      </w:divBdr>
    </w:div>
    <w:div w:id="40832954">
      <w:bodyDiv w:val="1"/>
      <w:marLeft w:val="0"/>
      <w:marRight w:val="0"/>
      <w:marTop w:val="0"/>
      <w:marBottom w:val="0"/>
      <w:divBdr>
        <w:top w:val="none" w:sz="0" w:space="0" w:color="auto"/>
        <w:left w:val="none" w:sz="0" w:space="0" w:color="auto"/>
        <w:bottom w:val="none" w:sz="0" w:space="0" w:color="auto"/>
        <w:right w:val="none" w:sz="0" w:space="0" w:color="auto"/>
      </w:divBdr>
    </w:div>
    <w:div w:id="97988669">
      <w:bodyDiv w:val="1"/>
      <w:marLeft w:val="0"/>
      <w:marRight w:val="0"/>
      <w:marTop w:val="0"/>
      <w:marBottom w:val="0"/>
      <w:divBdr>
        <w:top w:val="none" w:sz="0" w:space="0" w:color="auto"/>
        <w:left w:val="none" w:sz="0" w:space="0" w:color="auto"/>
        <w:bottom w:val="none" w:sz="0" w:space="0" w:color="auto"/>
        <w:right w:val="none" w:sz="0" w:space="0" w:color="auto"/>
      </w:divBdr>
    </w:div>
    <w:div w:id="163008640">
      <w:bodyDiv w:val="1"/>
      <w:marLeft w:val="0"/>
      <w:marRight w:val="0"/>
      <w:marTop w:val="0"/>
      <w:marBottom w:val="0"/>
      <w:divBdr>
        <w:top w:val="none" w:sz="0" w:space="0" w:color="auto"/>
        <w:left w:val="none" w:sz="0" w:space="0" w:color="auto"/>
        <w:bottom w:val="none" w:sz="0" w:space="0" w:color="auto"/>
        <w:right w:val="none" w:sz="0" w:space="0" w:color="auto"/>
      </w:divBdr>
    </w:div>
    <w:div w:id="238289487">
      <w:bodyDiv w:val="1"/>
      <w:marLeft w:val="0"/>
      <w:marRight w:val="0"/>
      <w:marTop w:val="0"/>
      <w:marBottom w:val="0"/>
      <w:divBdr>
        <w:top w:val="none" w:sz="0" w:space="0" w:color="auto"/>
        <w:left w:val="none" w:sz="0" w:space="0" w:color="auto"/>
        <w:bottom w:val="none" w:sz="0" w:space="0" w:color="auto"/>
        <w:right w:val="none" w:sz="0" w:space="0" w:color="auto"/>
      </w:divBdr>
    </w:div>
    <w:div w:id="255135324">
      <w:bodyDiv w:val="1"/>
      <w:marLeft w:val="0"/>
      <w:marRight w:val="0"/>
      <w:marTop w:val="0"/>
      <w:marBottom w:val="0"/>
      <w:divBdr>
        <w:top w:val="none" w:sz="0" w:space="0" w:color="auto"/>
        <w:left w:val="none" w:sz="0" w:space="0" w:color="auto"/>
        <w:bottom w:val="none" w:sz="0" w:space="0" w:color="auto"/>
        <w:right w:val="none" w:sz="0" w:space="0" w:color="auto"/>
      </w:divBdr>
    </w:div>
    <w:div w:id="364793124">
      <w:bodyDiv w:val="1"/>
      <w:marLeft w:val="0"/>
      <w:marRight w:val="0"/>
      <w:marTop w:val="0"/>
      <w:marBottom w:val="0"/>
      <w:divBdr>
        <w:top w:val="none" w:sz="0" w:space="0" w:color="auto"/>
        <w:left w:val="none" w:sz="0" w:space="0" w:color="auto"/>
        <w:bottom w:val="none" w:sz="0" w:space="0" w:color="auto"/>
        <w:right w:val="none" w:sz="0" w:space="0" w:color="auto"/>
      </w:divBdr>
    </w:div>
    <w:div w:id="411586328">
      <w:bodyDiv w:val="1"/>
      <w:marLeft w:val="0"/>
      <w:marRight w:val="0"/>
      <w:marTop w:val="0"/>
      <w:marBottom w:val="0"/>
      <w:divBdr>
        <w:top w:val="none" w:sz="0" w:space="0" w:color="auto"/>
        <w:left w:val="none" w:sz="0" w:space="0" w:color="auto"/>
        <w:bottom w:val="none" w:sz="0" w:space="0" w:color="auto"/>
        <w:right w:val="none" w:sz="0" w:space="0" w:color="auto"/>
      </w:divBdr>
    </w:div>
    <w:div w:id="446049149">
      <w:bodyDiv w:val="1"/>
      <w:marLeft w:val="0"/>
      <w:marRight w:val="0"/>
      <w:marTop w:val="0"/>
      <w:marBottom w:val="0"/>
      <w:divBdr>
        <w:top w:val="none" w:sz="0" w:space="0" w:color="auto"/>
        <w:left w:val="none" w:sz="0" w:space="0" w:color="auto"/>
        <w:bottom w:val="none" w:sz="0" w:space="0" w:color="auto"/>
        <w:right w:val="none" w:sz="0" w:space="0" w:color="auto"/>
      </w:divBdr>
    </w:div>
    <w:div w:id="488669132">
      <w:bodyDiv w:val="1"/>
      <w:marLeft w:val="0"/>
      <w:marRight w:val="0"/>
      <w:marTop w:val="0"/>
      <w:marBottom w:val="0"/>
      <w:divBdr>
        <w:top w:val="none" w:sz="0" w:space="0" w:color="auto"/>
        <w:left w:val="none" w:sz="0" w:space="0" w:color="auto"/>
        <w:bottom w:val="none" w:sz="0" w:space="0" w:color="auto"/>
        <w:right w:val="none" w:sz="0" w:space="0" w:color="auto"/>
      </w:divBdr>
    </w:div>
    <w:div w:id="551816199">
      <w:bodyDiv w:val="1"/>
      <w:marLeft w:val="0"/>
      <w:marRight w:val="0"/>
      <w:marTop w:val="0"/>
      <w:marBottom w:val="0"/>
      <w:divBdr>
        <w:top w:val="none" w:sz="0" w:space="0" w:color="auto"/>
        <w:left w:val="none" w:sz="0" w:space="0" w:color="auto"/>
        <w:bottom w:val="none" w:sz="0" w:space="0" w:color="auto"/>
        <w:right w:val="none" w:sz="0" w:space="0" w:color="auto"/>
      </w:divBdr>
    </w:div>
    <w:div w:id="584845019">
      <w:bodyDiv w:val="1"/>
      <w:marLeft w:val="0"/>
      <w:marRight w:val="0"/>
      <w:marTop w:val="0"/>
      <w:marBottom w:val="0"/>
      <w:divBdr>
        <w:top w:val="none" w:sz="0" w:space="0" w:color="auto"/>
        <w:left w:val="none" w:sz="0" w:space="0" w:color="auto"/>
        <w:bottom w:val="none" w:sz="0" w:space="0" w:color="auto"/>
        <w:right w:val="none" w:sz="0" w:space="0" w:color="auto"/>
      </w:divBdr>
    </w:div>
    <w:div w:id="641695576">
      <w:bodyDiv w:val="1"/>
      <w:marLeft w:val="0"/>
      <w:marRight w:val="0"/>
      <w:marTop w:val="0"/>
      <w:marBottom w:val="0"/>
      <w:divBdr>
        <w:top w:val="none" w:sz="0" w:space="0" w:color="auto"/>
        <w:left w:val="none" w:sz="0" w:space="0" w:color="auto"/>
        <w:bottom w:val="none" w:sz="0" w:space="0" w:color="auto"/>
        <w:right w:val="none" w:sz="0" w:space="0" w:color="auto"/>
      </w:divBdr>
    </w:div>
    <w:div w:id="671183287">
      <w:bodyDiv w:val="1"/>
      <w:marLeft w:val="0"/>
      <w:marRight w:val="0"/>
      <w:marTop w:val="0"/>
      <w:marBottom w:val="0"/>
      <w:divBdr>
        <w:top w:val="none" w:sz="0" w:space="0" w:color="auto"/>
        <w:left w:val="none" w:sz="0" w:space="0" w:color="auto"/>
        <w:bottom w:val="none" w:sz="0" w:space="0" w:color="auto"/>
        <w:right w:val="none" w:sz="0" w:space="0" w:color="auto"/>
      </w:divBdr>
    </w:div>
    <w:div w:id="745566135">
      <w:bodyDiv w:val="1"/>
      <w:marLeft w:val="0"/>
      <w:marRight w:val="0"/>
      <w:marTop w:val="0"/>
      <w:marBottom w:val="0"/>
      <w:divBdr>
        <w:top w:val="none" w:sz="0" w:space="0" w:color="auto"/>
        <w:left w:val="none" w:sz="0" w:space="0" w:color="auto"/>
        <w:bottom w:val="none" w:sz="0" w:space="0" w:color="auto"/>
        <w:right w:val="none" w:sz="0" w:space="0" w:color="auto"/>
      </w:divBdr>
    </w:div>
    <w:div w:id="849686426">
      <w:bodyDiv w:val="1"/>
      <w:marLeft w:val="0"/>
      <w:marRight w:val="0"/>
      <w:marTop w:val="0"/>
      <w:marBottom w:val="0"/>
      <w:divBdr>
        <w:top w:val="none" w:sz="0" w:space="0" w:color="auto"/>
        <w:left w:val="none" w:sz="0" w:space="0" w:color="auto"/>
        <w:bottom w:val="none" w:sz="0" w:space="0" w:color="auto"/>
        <w:right w:val="none" w:sz="0" w:space="0" w:color="auto"/>
      </w:divBdr>
    </w:div>
    <w:div w:id="883714262">
      <w:bodyDiv w:val="1"/>
      <w:marLeft w:val="0"/>
      <w:marRight w:val="0"/>
      <w:marTop w:val="0"/>
      <w:marBottom w:val="0"/>
      <w:divBdr>
        <w:top w:val="none" w:sz="0" w:space="0" w:color="auto"/>
        <w:left w:val="none" w:sz="0" w:space="0" w:color="auto"/>
        <w:bottom w:val="none" w:sz="0" w:space="0" w:color="auto"/>
        <w:right w:val="none" w:sz="0" w:space="0" w:color="auto"/>
      </w:divBdr>
    </w:div>
    <w:div w:id="892548631">
      <w:bodyDiv w:val="1"/>
      <w:marLeft w:val="0"/>
      <w:marRight w:val="0"/>
      <w:marTop w:val="0"/>
      <w:marBottom w:val="0"/>
      <w:divBdr>
        <w:top w:val="none" w:sz="0" w:space="0" w:color="auto"/>
        <w:left w:val="none" w:sz="0" w:space="0" w:color="auto"/>
        <w:bottom w:val="none" w:sz="0" w:space="0" w:color="auto"/>
        <w:right w:val="none" w:sz="0" w:space="0" w:color="auto"/>
      </w:divBdr>
    </w:div>
    <w:div w:id="945505062">
      <w:bodyDiv w:val="1"/>
      <w:marLeft w:val="0"/>
      <w:marRight w:val="0"/>
      <w:marTop w:val="0"/>
      <w:marBottom w:val="0"/>
      <w:divBdr>
        <w:top w:val="none" w:sz="0" w:space="0" w:color="auto"/>
        <w:left w:val="none" w:sz="0" w:space="0" w:color="auto"/>
        <w:bottom w:val="none" w:sz="0" w:space="0" w:color="auto"/>
        <w:right w:val="none" w:sz="0" w:space="0" w:color="auto"/>
      </w:divBdr>
    </w:div>
    <w:div w:id="968440006">
      <w:bodyDiv w:val="1"/>
      <w:marLeft w:val="0"/>
      <w:marRight w:val="0"/>
      <w:marTop w:val="0"/>
      <w:marBottom w:val="0"/>
      <w:divBdr>
        <w:top w:val="none" w:sz="0" w:space="0" w:color="auto"/>
        <w:left w:val="none" w:sz="0" w:space="0" w:color="auto"/>
        <w:bottom w:val="none" w:sz="0" w:space="0" w:color="auto"/>
        <w:right w:val="none" w:sz="0" w:space="0" w:color="auto"/>
      </w:divBdr>
    </w:div>
    <w:div w:id="1090153049">
      <w:bodyDiv w:val="1"/>
      <w:marLeft w:val="0"/>
      <w:marRight w:val="0"/>
      <w:marTop w:val="0"/>
      <w:marBottom w:val="0"/>
      <w:divBdr>
        <w:top w:val="none" w:sz="0" w:space="0" w:color="auto"/>
        <w:left w:val="none" w:sz="0" w:space="0" w:color="auto"/>
        <w:bottom w:val="none" w:sz="0" w:space="0" w:color="auto"/>
        <w:right w:val="none" w:sz="0" w:space="0" w:color="auto"/>
      </w:divBdr>
      <w:divsChild>
        <w:div w:id="1134563144">
          <w:marLeft w:val="922"/>
          <w:marRight w:val="0"/>
          <w:marTop w:val="0"/>
          <w:marBottom w:val="0"/>
          <w:divBdr>
            <w:top w:val="none" w:sz="0" w:space="0" w:color="auto"/>
            <w:left w:val="none" w:sz="0" w:space="0" w:color="auto"/>
            <w:bottom w:val="none" w:sz="0" w:space="0" w:color="auto"/>
            <w:right w:val="none" w:sz="0" w:space="0" w:color="auto"/>
          </w:divBdr>
        </w:div>
        <w:div w:id="1298536711">
          <w:marLeft w:val="922"/>
          <w:marRight w:val="0"/>
          <w:marTop w:val="0"/>
          <w:marBottom w:val="0"/>
          <w:divBdr>
            <w:top w:val="none" w:sz="0" w:space="0" w:color="auto"/>
            <w:left w:val="none" w:sz="0" w:space="0" w:color="auto"/>
            <w:bottom w:val="none" w:sz="0" w:space="0" w:color="auto"/>
            <w:right w:val="none" w:sz="0" w:space="0" w:color="auto"/>
          </w:divBdr>
        </w:div>
        <w:div w:id="2090034402">
          <w:marLeft w:val="922"/>
          <w:marRight w:val="0"/>
          <w:marTop w:val="0"/>
          <w:marBottom w:val="0"/>
          <w:divBdr>
            <w:top w:val="none" w:sz="0" w:space="0" w:color="auto"/>
            <w:left w:val="none" w:sz="0" w:space="0" w:color="auto"/>
            <w:bottom w:val="none" w:sz="0" w:space="0" w:color="auto"/>
            <w:right w:val="none" w:sz="0" w:space="0" w:color="auto"/>
          </w:divBdr>
        </w:div>
      </w:divsChild>
    </w:div>
    <w:div w:id="1143933894">
      <w:bodyDiv w:val="1"/>
      <w:marLeft w:val="0"/>
      <w:marRight w:val="0"/>
      <w:marTop w:val="0"/>
      <w:marBottom w:val="0"/>
      <w:divBdr>
        <w:top w:val="none" w:sz="0" w:space="0" w:color="auto"/>
        <w:left w:val="none" w:sz="0" w:space="0" w:color="auto"/>
        <w:bottom w:val="none" w:sz="0" w:space="0" w:color="auto"/>
        <w:right w:val="none" w:sz="0" w:space="0" w:color="auto"/>
      </w:divBdr>
    </w:div>
    <w:div w:id="1146169116">
      <w:bodyDiv w:val="1"/>
      <w:marLeft w:val="0"/>
      <w:marRight w:val="0"/>
      <w:marTop w:val="0"/>
      <w:marBottom w:val="0"/>
      <w:divBdr>
        <w:top w:val="none" w:sz="0" w:space="0" w:color="auto"/>
        <w:left w:val="none" w:sz="0" w:space="0" w:color="auto"/>
        <w:bottom w:val="none" w:sz="0" w:space="0" w:color="auto"/>
        <w:right w:val="none" w:sz="0" w:space="0" w:color="auto"/>
      </w:divBdr>
    </w:div>
    <w:div w:id="1158303519">
      <w:bodyDiv w:val="1"/>
      <w:marLeft w:val="0"/>
      <w:marRight w:val="0"/>
      <w:marTop w:val="0"/>
      <w:marBottom w:val="0"/>
      <w:divBdr>
        <w:top w:val="none" w:sz="0" w:space="0" w:color="auto"/>
        <w:left w:val="none" w:sz="0" w:space="0" w:color="auto"/>
        <w:bottom w:val="none" w:sz="0" w:space="0" w:color="auto"/>
        <w:right w:val="none" w:sz="0" w:space="0" w:color="auto"/>
      </w:divBdr>
      <w:divsChild>
        <w:div w:id="58410025">
          <w:marLeft w:val="288"/>
          <w:marRight w:val="0"/>
          <w:marTop w:val="115"/>
          <w:marBottom w:val="0"/>
          <w:divBdr>
            <w:top w:val="none" w:sz="0" w:space="0" w:color="auto"/>
            <w:left w:val="none" w:sz="0" w:space="0" w:color="auto"/>
            <w:bottom w:val="none" w:sz="0" w:space="0" w:color="auto"/>
            <w:right w:val="none" w:sz="0" w:space="0" w:color="auto"/>
          </w:divBdr>
        </w:div>
        <w:div w:id="143737858">
          <w:marLeft w:val="288"/>
          <w:marRight w:val="0"/>
          <w:marTop w:val="115"/>
          <w:marBottom w:val="0"/>
          <w:divBdr>
            <w:top w:val="none" w:sz="0" w:space="0" w:color="auto"/>
            <w:left w:val="none" w:sz="0" w:space="0" w:color="auto"/>
            <w:bottom w:val="none" w:sz="0" w:space="0" w:color="auto"/>
            <w:right w:val="none" w:sz="0" w:space="0" w:color="auto"/>
          </w:divBdr>
        </w:div>
        <w:div w:id="174730605">
          <w:marLeft w:val="288"/>
          <w:marRight w:val="0"/>
          <w:marTop w:val="115"/>
          <w:marBottom w:val="0"/>
          <w:divBdr>
            <w:top w:val="none" w:sz="0" w:space="0" w:color="auto"/>
            <w:left w:val="none" w:sz="0" w:space="0" w:color="auto"/>
            <w:bottom w:val="none" w:sz="0" w:space="0" w:color="auto"/>
            <w:right w:val="none" w:sz="0" w:space="0" w:color="auto"/>
          </w:divBdr>
        </w:div>
        <w:div w:id="844975495">
          <w:marLeft w:val="288"/>
          <w:marRight w:val="0"/>
          <w:marTop w:val="240"/>
          <w:marBottom w:val="0"/>
          <w:divBdr>
            <w:top w:val="none" w:sz="0" w:space="0" w:color="auto"/>
            <w:left w:val="none" w:sz="0" w:space="0" w:color="auto"/>
            <w:bottom w:val="none" w:sz="0" w:space="0" w:color="auto"/>
            <w:right w:val="none" w:sz="0" w:space="0" w:color="auto"/>
          </w:divBdr>
        </w:div>
        <w:div w:id="1398699921">
          <w:marLeft w:val="288"/>
          <w:marRight w:val="0"/>
          <w:marTop w:val="115"/>
          <w:marBottom w:val="0"/>
          <w:divBdr>
            <w:top w:val="none" w:sz="0" w:space="0" w:color="auto"/>
            <w:left w:val="none" w:sz="0" w:space="0" w:color="auto"/>
            <w:bottom w:val="none" w:sz="0" w:space="0" w:color="auto"/>
            <w:right w:val="none" w:sz="0" w:space="0" w:color="auto"/>
          </w:divBdr>
        </w:div>
        <w:div w:id="1421869738">
          <w:marLeft w:val="288"/>
          <w:marRight w:val="0"/>
          <w:marTop w:val="115"/>
          <w:marBottom w:val="0"/>
          <w:divBdr>
            <w:top w:val="none" w:sz="0" w:space="0" w:color="auto"/>
            <w:left w:val="none" w:sz="0" w:space="0" w:color="auto"/>
            <w:bottom w:val="none" w:sz="0" w:space="0" w:color="auto"/>
            <w:right w:val="none" w:sz="0" w:space="0" w:color="auto"/>
          </w:divBdr>
        </w:div>
      </w:divsChild>
    </w:div>
    <w:div w:id="1265921330">
      <w:bodyDiv w:val="1"/>
      <w:marLeft w:val="0"/>
      <w:marRight w:val="0"/>
      <w:marTop w:val="0"/>
      <w:marBottom w:val="0"/>
      <w:divBdr>
        <w:top w:val="none" w:sz="0" w:space="0" w:color="auto"/>
        <w:left w:val="none" w:sz="0" w:space="0" w:color="auto"/>
        <w:bottom w:val="none" w:sz="0" w:space="0" w:color="auto"/>
        <w:right w:val="none" w:sz="0" w:space="0" w:color="auto"/>
      </w:divBdr>
    </w:div>
    <w:div w:id="1270356976">
      <w:bodyDiv w:val="1"/>
      <w:marLeft w:val="0"/>
      <w:marRight w:val="0"/>
      <w:marTop w:val="0"/>
      <w:marBottom w:val="0"/>
      <w:divBdr>
        <w:top w:val="none" w:sz="0" w:space="0" w:color="auto"/>
        <w:left w:val="none" w:sz="0" w:space="0" w:color="auto"/>
        <w:bottom w:val="none" w:sz="0" w:space="0" w:color="auto"/>
        <w:right w:val="none" w:sz="0" w:space="0" w:color="auto"/>
      </w:divBdr>
    </w:div>
    <w:div w:id="1329944003">
      <w:bodyDiv w:val="1"/>
      <w:marLeft w:val="0"/>
      <w:marRight w:val="0"/>
      <w:marTop w:val="0"/>
      <w:marBottom w:val="0"/>
      <w:divBdr>
        <w:top w:val="none" w:sz="0" w:space="0" w:color="auto"/>
        <w:left w:val="none" w:sz="0" w:space="0" w:color="auto"/>
        <w:bottom w:val="none" w:sz="0" w:space="0" w:color="auto"/>
        <w:right w:val="none" w:sz="0" w:space="0" w:color="auto"/>
      </w:divBdr>
    </w:div>
    <w:div w:id="1433863077">
      <w:bodyDiv w:val="1"/>
      <w:marLeft w:val="0"/>
      <w:marRight w:val="0"/>
      <w:marTop w:val="0"/>
      <w:marBottom w:val="0"/>
      <w:divBdr>
        <w:top w:val="none" w:sz="0" w:space="0" w:color="auto"/>
        <w:left w:val="none" w:sz="0" w:space="0" w:color="auto"/>
        <w:bottom w:val="none" w:sz="0" w:space="0" w:color="auto"/>
        <w:right w:val="none" w:sz="0" w:space="0" w:color="auto"/>
      </w:divBdr>
    </w:div>
    <w:div w:id="1459764304">
      <w:bodyDiv w:val="1"/>
      <w:marLeft w:val="0"/>
      <w:marRight w:val="0"/>
      <w:marTop w:val="0"/>
      <w:marBottom w:val="0"/>
      <w:divBdr>
        <w:top w:val="none" w:sz="0" w:space="0" w:color="auto"/>
        <w:left w:val="none" w:sz="0" w:space="0" w:color="auto"/>
        <w:bottom w:val="none" w:sz="0" w:space="0" w:color="auto"/>
        <w:right w:val="none" w:sz="0" w:space="0" w:color="auto"/>
      </w:divBdr>
    </w:div>
    <w:div w:id="1474298207">
      <w:bodyDiv w:val="1"/>
      <w:marLeft w:val="0"/>
      <w:marRight w:val="0"/>
      <w:marTop w:val="0"/>
      <w:marBottom w:val="0"/>
      <w:divBdr>
        <w:top w:val="none" w:sz="0" w:space="0" w:color="auto"/>
        <w:left w:val="none" w:sz="0" w:space="0" w:color="auto"/>
        <w:bottom w:val="none" w:sz="0" w:space="0" w:color="auto"/>
        <w:right w:val="none" w:sz="0" w:space="0" w:color="auto"/>
      </w:divBdr>
    </w:div>
    <w:div w:id="1654025125">
      <w:bodyDiv w:val="1"/>
      <w:marLeft w:val="0"/>
      <w:marRight w:val="0"/>
      <w:marTop w:val="0"/>
      <w:marBottom w:val="0"/>
      <w:divBdr>
        <w:top w:val="none" w:sz="0" w:space="0" w:color="auto"/>
        <w:left w:val="none" w:sz="0" w:space="0" w:color="auto"/>
        <w:bottom w:val="none" w:sz="0" w:space="0" w:color="auto"/>
        <w:right w:val="none" w:sz="0" w:space="0" w:color="auto"/>
      </w:divBdr>
    </w:div>
    <w:div w:id="1683362619">
      <w:bodyDiv w:val="1"/>
      <w:marLeft w:val="0"/>
      <w:marRight w:val="0"/>
      <w:marTop w:val="0"/>
      <w:marBottom w:val="0"/>
      <w:divBdr>
        <w:top w:val="none" w:sz="0" w:space="0" w:color="auto"/>
        <w:left w:val="none" w:sz="0" w:space="0" w:color="auto"/>
        <w:bottom w:val="none" w:sz="0" w:space="0" w:color="auto"/>
        <w:right w:val="none" w:sz="0" w:space="0" w:color="auto"/>
      </w:divBdr>
    </w:div>
    <w:div w:id="1703630971">
      <w:bodyDiv w:val="1"/>
      <w:marLeft w:val="0"/>
      <w:marRight w:val="0"/>
      <w:marTop w:val="0"/>
      <w:marBottom w:val="0"/>
      <w:divBdr>
        <w:top w:val="none" w:sz="0" w:space="0" w:color="auto"/>
        <w:left w:val="none" w:sz="0" w:space="0" w:color="auto"/>
        <w:bottom w:val="none" w:sz="0" w:space="0" w:color="auto"/>
        <w:right w:val="none" w:sz="0" w:space="0" w:color="auto"/>
      </w:divBdr>
    </w:div>
    <w:div w:id="1728609279">
      <w:bodyDiv w:val="1"/>
      <w:marLeft w:val="0"/>
      <w:marRight w:val="0"/>
      <w:marTop w:val="0"/>
      <w:marBottom w:val="0"/>
      <w:divBdr>
        <w:top w:val="none" w:sz="0" w:space="0" w:color="auto"/>
        <w:left w:val="none" w:sz="0" w:space="0" w:color="auto"/>
        <w:bottom w:val="none" w:sz="0" w:space="0" w:color="auto"/>
        <w:right w:val="none" w:sz="0" w:space="0" w:color="auto"/>
      </w:divBdr>
    </w:div>
    <w:div w:id="1737362904">
      <w:bodyDiv w:val="1"/>
      <w:marLeft w:val="0"/>
      <w:marRight w:val="0"/>
      <w:marTop w:val="0"/>
      <w:marBottom w:val="0"/>
      <w:divBdr>
        <w:top w:val="none" w:sz="0" w:space="0" w:color="auto"/>
        <w:left w:val="none" w:sz="0" w:space="0" w:color="auto"/>
        <w:bottom w:val="none" w:sz="0" w:space="0" w:color="auto"/>
        <w:right w:val="none" w:sz="0" w:space="0" w:color="auto"/>
      </w:divBdr>
      <w:divsChild>
        <w:div w:id="1785422284">
          <w:marLeft w:val="0"/>
          <w:marRight w:val="0"/>
          <w:marTop w:val="0"/>
          <w:marBottom w:val="0"/>
          <w:divBdr>
            <w:top w:val="none" w:sz="0" w:space="0" w:color="auto"/>
            <w:left w:val="none" w:sz="0" w:space="0" w:color="auto"/>
            <w:bottom w:val="none" w:sz="0" w:space="0" w:color="auto"/>
            <w:right w:val="none" w:sz="0" w:space="0" w:color="auto"/>
          </w:divBdr>
          <w:divsChild>
            <w:div w:id="642080664">
              <w:marLeft w:val="0"/>
              <w:marRight w:val="0"/>
              <w:marTop w:val="0"/>
              <w:marBottom w:val="0"/>
              <w:divBdr>
                <w:top w:val="none" w:sz="0" w:space="0" w:color="auto"/>
                <w:left w:val="none" w:sz="0" w:space="0" w:color="auto"/>
                <w:bottom w:val="none" w:sz="0" w:space="0" w:color="auto"/>
                <w:right w:val="none" w:sz="0" w:space="0" w:color="auto"/>
              </w:divBdr>
            </w:div>
            <w:div w:id="115082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15398">
      <w:bodyDiv w:val="1"/>
      <w:marLeft w:val="0"/>
      <w:marRight w:val="0"/>
      <w:marTop w:val="0"/>
      <w:marBottom w:val="0"/>
      <w:divBdr>
        <w:top w:val="none" w:sz="0" w:space="0" w:color="auto"/>
        <w:left w:val="none" w:sz="0" w:space="0" w:color="auto"/>
        <w:bottom w:val="none" w:sz="0" w:space="0" w:color="auto"/>
        <w:right w:val="none" w:sz="0" w:space="0" w:color="auto"/>
      </w:divBdr>
    </w:div>
    <w:div w:id="1852530508">
      <w:bodyDiv w:val="1"/>
      <w:marLeft w:val="0"/>
      <w:marRight w:val="0"/>
      <w:marTop w:val="0"/>
      <w:marBottom w:val="0"/>
      <w:divBdr>
        <w:top w:val="none" w:sz="0" w:space="0" w:color="auto"/>
        <w:left w:val="none" w:sz="0" w:space="0" w:color="auto"/>
        <w:bottom w:val="none" w:sz="0" w:space="0" w:color="auto"/>
        <w:right w:val="none" w:sz="0" w:space="0" w:color="auto"/>
      </w:divBdr>
    </w:div>
    <w:div w:id="1885096170">
      <w:bodyDiv w:val="1"/>
      <w:marLeft w:val="0"/>
      <w:marRight w:val="0"/>
      <w:marTop w:val="0"/>
      <w:marBottom w:val="0"/>
      <w:divBdr>
        <w:top w:val="none" w:sz="0" w:space="0" w:color="auto"/>
        <w:left w:val="none" w:sz="0" w:space="0" w:color="auto"/>
        <w:bottom w:val="none" w:sz="0" w:space="0" w:color="auto"/>
        <w:right w:val="none" w:sz="0" w:space="0" w:color="auto"/>
      </w:divBdr>
    </w:div>
    <w:div w:id="1940871157">
      <w:bodyDiv w:val="1"/>
      <w:marLeft w:val="0"/>
      <w:marRight w:val="0"/>
      <w:marTop w:val="0"/>
      <w:marBottom w:val="0"/>
      <w:divBdr>
        <w:top w:val="none" w:sz="0" w:space="0" w:color="auto"/>
        <w:left w:val="none" w:sz="0" w:space="0" w:color="auto"/>
        <w:bottom w:val="none" w:sz="0" w:space="0" w:color="auto"/>
        <w:right w:val="none" w:sz="0" w:space="0" w:color="auto"/>
      </w:divBdr>
    </w:div>
    <w:div w:id="1950772545">
      <w:bodyDiv w:val="1"/>
      <w:marLeft w:val="0"/>
      <w:marRight w:val="0"/>
      <w:marTop w:val="0"/>
      <w:marBottom w:val="0"/>
      <w:divBdr>
        <w:top w:val="none" w:sz="0" w:space="0" w:color="auto"/>
        <w:left w:val="none" w:sz="0" w:space="0" w:color="auto"/>
        <w:bottom w:val="none" w:sz="0" w:space="0" w:color="auto"/>
        <w:right w:val="none" w:sz="0" w:space="0" w:color="auto"/>
      </w:divBdr>
    </w:div>
    <w:div w:id="1951736420">
      <w:bodyDiv w:val="1"/>
      <w:marLeft w:val="0"/>
      <w:marRight w:val="0"/>
      <w:marTop w:val="0"/>
      <w:marBottom w:val="0"/>
      <w:divBdr>
        <w:top w:val="none" w:sz="0" w:space="0" w:color="auto"/>
        <w:left w:val="none" w:sz="0" w:space="0" w:color="auto"/>
        <w:bottom w:val="none" w:sz="0" w:space="0" w:color="auto"/>
        <w:right w:val="none" w:sz="0" w:space="0" w:color="auto"/>
      </w:divBdr>
    </w:div>
    <w:div w:id="203761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r.willis@eib.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eib.org/en/surveys/climate-survey/4th-climate-survey/green-transition-jobs-lifestyle-adaptation.htm" TargetMode="External"/><Relationship Id="rId2" Type="http://schemas.openxmlformats.org/officeDocument/2006/relationships/customXml" Target="../customXml/item2.xml"/><Relationship Id="rId16" Type="http://schemas.openxmlformats.org/officeDocument/2006/relationships/hyperlink" Target="https://www.eib.org/attachments/survey/eib-climate-survey-2021-2022-all-countries-results-pr3.xls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b.org/en/surveys/climate-survey/4th-climate-survey/green-transition-jobs-lifestyle-adaptation.htm"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4.jpeg"/><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EFCB4D9918784AAE4E5BF8C3DD77C3" ma:contentTypeVersion="11" ma:contentTypeDescription="Create a new document." ma:contentTypeScope="" ma:versionID="74553b4e701a8a1c17898a00815f4a2d">
  <xsd:schema xmlns:xsd="http://www.w3.org/2001/XMLSchema" xmlns:xs="http://www.w3.org/2001/XMLSchema" xmlns:p="http://schemas.microsoft.com/office/2006/metadata/properties" xmlns:ns2="5c4923c2-ca20-42b9-8e7c-16896df4c0a3" xmlns:ns3="22ce1969-1f8a-4ced-ba19-fcdc29f513c4" targetNamespace="http://schemas.microsoft.com/office/2006/metadata/properties" ma:root="true" ma:fieldsID="f581fb96ec62ca377b05fb5afd3ddf26" ns2:_="" ns3:_="">
    <xsd:import namespace="5c4923c2-ca20-42b9-8e7c-16896df4c0a3"/>
    <xsd:import namespace="22ce1969-1f8a-4ced-ba19-fcdc29f513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923c2-ca20-42b9-8e7c-16896df4c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ce1969-1f8a-4ced-ba19-fcdc29f513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DA129-3DA8-4584-AC5D-27A1F77A08DD}">
  <ds:schemaRefs>
    <ds:schemaRef ds:uri="http://schemas.microsoft.com/sharepoint/v3/contenttype/forms"/>
  </ds:schemaRefs>
</ds:datastoreItem>
</file>

<file path=customXml/itemProps2.xml><?xml version="1.0" encoding="utf-8"?>
<ds:datastoreItem xmlns:ds="http://schemas.openxmlformats.org/officeDocument/2006/customXml" ds:itemID="{7FC865A4-B835-4E7F-A0D1-97B1B90FC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923c2-ca20-42b9-8e7c-16896df4c0a3"/>
    <ds:schemaRef ds:uri="22ce1969-1f8a-4ced-ba19-fcdc29f51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F140F7-7AA6-4927-92E0-EE155038A5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BD6DA6-5ADE-469A-BD4A-82884AEAD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1216</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BVA</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l.bernelas</dc:creator>
  <cp:keywords/>
  <dc:description/>
  <cp:lastModifiedBy>LINNA Lydia (Ext)</cp:lastModifiedBy>
  <cp:revision>7</cp:revision>
  <cp:lastPrinted>2022-01-26T05:54:00Z</cp:lastPrinted>
  <dcterms:created xsi:type="dcterms:W3CDTF">2022-03-01T08:56:00Z</dcterms:created>
  <dcterms:modified xsi:type="dcterms:W3CDTF">2022-03-16T15:58:00Z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2022-02-03T10:39:39Z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59f7447c-bcb0-47cd-9932-91807eb2e4b6</vt:lpwstr>
  </property>
  <property fmtid="{D5CDD505-2E9C-101B-9397-08002B2CF9AE}" pid="8" name="MSIP_Label_9a1941df-5ad5-414d-8ed3-558eeca5dbe9_ContentBits">
    <vt:lpwstr>0</vt:lpwstr>
  </property>
  <property fmtid="{D5CDD505-2E9C-101B-9397-08002B2CF9AE}" pid="9" name="ContentTypeId">
    <vt:lpwstr>0x01010000EFCB4D9918784AAE4E5BF8C3DD77C3</vt:lpwstr>
  </property>
</Properties>
</file>