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E6460" w14:textId="78FFDE25" w:rsidR="00114A64" w:rsidRPr="00BD0A81" w:rsidRDefault="00114A64" w:rsidP="00555D4D">
      <w:pPr>
        <w:spacing w:after="0"/>
        <w:jc w:val="both"/>
        <w:rPr>
          <w:b/>
          <w:sz w:val="24"/>
        </w:rPr>
      </w:pPr>
      <w:r>
        <w:rPr>
          <w:b/>
          <w:sz w:val="24"/>
        </w:rPr>
        <w:t>Az EBB éghajlati felmérése – negyedik kör</w:t>
      </w:r>
    </w:p>
    <w:p w14:paraId="360A5A37" w14:textId="0E017A38" w:rsidR="00CF4AB6" w:rsidRDefault="00CF4AB6" w:rsidP="00CF4AB6">
      <w:pPr>
        <w:jc w:val="both"/>
        <w:rPr>
          <w:sz w:val="18"/>
        </w:rPr>
      </w:pPr>
      <w:r>
        <w:rPr>
          <w:sz w:val="18"/>
        </w:rPr>
        <w:t>LUXEMBOURG, 2022</w:t>
      </w:r>
      <w:r w:rsidRPr="00CF4AB6">
        <w:rPr>
          <w:sz w:val="18"/>
        </w:rPr>
        <w:t xml:space="preserve">. február 1 </w:t>
      </w:r>
    </w:p>
    <w:p w14:paraId="3E0132FD" w14:textId="6E5E630A" w:rsidR="00FA48B6" w:rsidRPr="00E96526" w:rsidRDefault="00FA48B6" w:rsidP="00CF4AB6">
      <w:pPr>
        <w:jc w:val="both"/>
        <w:rPr>
          <w:b/>
          <w:sz w:val="28"/>
        </w:rPr>
      </w:pPr>
      <w:r>
        <w:rPr>
          <w:b/>
          <w:sz w:val="28"/>
        </w:rPr>
        <w:t xml:space="preserve">Új kocsi vásárlása esetén a magyarok túlnyomó többsége </w:t>
      </w:r>
      <w:proofErr w:type="gramStart"/>
      <w:r>
        <w:rPr>
          <w:b/>
          <w:sz w:val="28"/>
        </w:rPr>
        <w:t>hibrid</w:t>
      </w:r>
      <w:proofErr w:type="gramEnd"/>
      <w:r>
        <w:rPr>
          <w:b/>
          <w:sz w:val="28"/>
        </w:rPr>
        <w:t xml:space="preserve"> vagy elektromos autót választana</w:t>
      </w:r>
      <w:r>
        <w:rPr>
          <w:i/>
        </w:rPr>
        <w:t xml:space="preserve"> </w:t>
      </w:r>
    </w:p>
    <w:p w14:paraId="0818C550" w14:textId="77777777" w:rsidR="00C519FC" w:rsidRPr="00E96526" w:rsidRDefault="00C519FC">
      <w:pPr>
        <w:spacing w:after="0"/>
        <w:jc w:val="both"/>
        <w:rPr>
          <w:b/>
          <w:sz w:val="28"/>
        </w:rPr>
      </w:pPr>
    </w:p>
    <w:p w14:paraId="794F52C0" w14:textId="1175A3E0" w:rsidR="00815080" w:rsidRPr="00E96526" w:rsidRDefault="00A70064" w:rsidP="00A70064">
      <w:pPr>
        <w:spacing w:after="0"/>
        <w:jc w:val="both"/>
        <w:rPr>
          <w:i/>
        </w:rPr>
      </w:pPr>
      <w:proofErr w:type="gramStart"/>
      <w:r>
        <w:rPr>
          <w:i/>
        </w:rPr>
        <w:t>A</w:t>
      </w:r>
      <w:proofErr w:type="gramEnd"/>
      <w:r>
        <w:rPr>
          <w:i/>
        </w:rPr>
        <w:t xml:space="preserve"> EBB 2021–2022. évi éghajlati felmérésének második része azt vizsgálja, miként vélekednek az emberek az éghajlatváltozásról a gyorsan változó világban. A felmérés mostani körének középpontjában a polgárok egyéni viselkedése és az éghajlatváltozás elleni küzdelem érdekében tett intézkedéseik állnak. </w:t>
      </w:r>
    </w:p>
    <w:p w14:paraId="63100C0E" w14:textId="68FAEF1F" w:rsidR="00161B02" w:rsidRPr="00E96526" w:rsidRDefault="00A70064" w:rsidP="00F52982">
      <w:pPr>
        <w:spacing w:after="0"/>
        <w:jc w:val="both"/>
      </w:pPr>
      <w:r>
        <w:rPr>
          <w:i/>
        </w:rPr>
        <w:t xml:space="preserve"> </w:t>
      </w:r>
    </w:p>
    <w:p w14:paraId="087429D6" w14:textId="501B4112" w:rsidR="00C11361" w:rsidRPr="00E96526" w:rsidRDefault="003E0666" w:rsidP="00C11361">
      <w:pPr>
        <w:pStyle w:val="ListParagraph"/>
        <w:numPr>
          <w:ilvl w:val="0"/>
          <w:numId w:val="6"/>
        </w:numPr>
        <w:spacing w:after="0"/>
        <w:jc w:val="both"/>
        <w:rPr>
          <w:b/>
          <w:bCs/>
        </w:rPr>
      </w:pPr>
      <w:r>
        <w:rPr>
          <w:b/>
        </w:rPr>
        <w:t>A magyarok 79%-</w:t>
      </w:r>
      <w:proofErr w:type="gramStart"/>
      <w:r>
        <w:rPr>
          <w:b/>
        </w:rPr>
        <w:t>a</w:t>
      </w:r>
      <w:proofErr w:type="gramEnd"/>
      <w:r>
        <w:rPr>
          <w:b/>
        </w:rPr>
        <w:t xml:space="preserve"> érzi úgy, hogy mindennapi életében minden tőle telhetőt megtesz az éghajlatváltozás elleni küzdelem érdekében, ugyanakkor a többség szerint honfitársaikról nem mondható el ugyanez</w:t>
      </w:r>
    </w:p>
    <w:p w14:paraId="7E1EA781" w14:textId="691C7AF3" w:rsidR="009004EB" w:rsidRPr="00E96526" w:rsidRDefault="00C06331" w:rsidP="00176F81">
      <w:pPr>
        <w:pStyle w:val="ListParagraph"/>
        <w:numPr>
          <w:ilvl w:val="0"/>
          <w:numId w:val="6"/>
        </w:numPr>
        <w:spacing w:after="0"/>
        <w:jc w:val="both"/>
        <w:rPr>
          <w:b/>
          <w:bCs/>
        </w:rPr>
      </w:pPr>
      <w:r>
        <w:rPr>
          <w:b/>
        </w:rPr>
        <w:t>A magyar gépkocsivásárlók 72%-</w:t>
      </w:r>
      <w:proofErr w:type="gramStart"/>
      <w:r>
        <w:rPr>
          <w:b/>
        </w:rPr>
        <w:t>a</w:t>
      </w:r>
      <w:proofErr w:type="gramEnd"/>
      <w:r>
        <w:rPr>
          <w:b/>
        </w:rPr>
        <w:t xml:space="preserve"> állítja, hogy a legközelebbi autóvásárláskor hibrid vagy elektromos autót választana, míg 28% továbbra is benzines vagy dízeljármű mellett döntene </w:t>
      </w:r>
    </w:p>
    <w:p w14:paraId="2D1B62AC" w14:textId="3FDC5FB9" w:rsidR="002E4AB0" w:rsidRPr="00E96526" w:rsidRDefault="002E4AB0">
      <w:pPr>
        <w:pStyle w:val="ListParagraph"/>
        <w:numPr>
          <w:ilvl w:val="0"/>
          <w:numId w:val="6"/>
        </w:numPr>
        <w:spacing w:after="0"/>
        <w:jc w:val="both"/>
        <w:rPr>
          <w:b/>
          <w:bCs/>
        </w:rPr>
      </w:pPr>
      <w:r>
        <w:rPr>
          <w:b/>
        </w:rPr>
        <w:t>A magyarok 68%-a mondja azt, hogy nyaralása helyszínének megválasztásakor figyelembe veszi az éghajlatváltozást</w:t>
      </w:r>
    </w:p>
    <w:p w14:paraId="02266DE1" w14:textId="42C258E0" w:rsidR="008862DB" w:rsidRPr="00E96526" w:rsidRDefault="0020362A">
      <w:pPr>
        <w:pStyle w:val="ListParagraph"/>
        <w:numPr>
          <w:ilvl w:val="0"/>
          <w:numId w:val="6"/>
        </w:numPr>
        <w:spacing w:after="0"/>
        <w:jc w:val="both"/>
        <w:rPr>
          <w:b/>
          <w:bCs/>
        </w:rPr>
      </w:pPr>
      <w:r>
        <w:rPr>
          <w:b/>
        </w:rPr>
        <w:t xml:space="preserve">A magyar </w:t>
      </w:r>
      <w:r>
        <w:rPr>
          <w:b/>
          <w:u w:val="single"/>
        </w:rPr>
        <w:t>fiatalok</w:t>
      </w:r>
      <w:r>
        <w:rPr>
          <w:b/>
        </w:rPr>
        <w:t xml:space="preserve"> 58%-a veszi figyelembe álláskereséskor az éghajlatváltozást</w:t>
      </w:r>
    </w:p>
    <w:p w14:paraId="40812344" w14:textId="2D511BF6" w:rsidR="008862DB" w:rsidRPr="00E96526" w:rsidRDefault="008F5A2C" w:rsidP="00F579BB">
      <w:pPr>
        <w:pStyle w:val="ListParagraph"/>
        <w:numPr>
          <w:ilvl w:val="0"/>
          <w:numId w:val="6"/>
        </w:numPr>
        <w:spacing w:after="0"/>
        <w:jc w:val="both"/>
        <w:rPr>
          <w:b/>
          <w:bCs/>
        </w:rPr>
      </w:pPr>
      <w:r>
        <w:rPr>
          <w:b/>
        </w:rPr>
        <w:t xml:space="preserve">A magyar </w:t>
      </w:r>
      <w:r>
        <w:rPr>
          <w:b/>
          <w:u w:val="single"/>
        </w:rPr>
        <w:t>fiatalok</w:t>
      </w:r>
      <w:r>
        <w:rPr>
          <w:b/>
        </w:rPr>
        <w:t xml:space="preserve"> </w:t>
      </w:r>
      <w:r w:rsidR="00DA7291">
        <w:rPr>
          <w:b/>
        </w:rPr>
        <w:t>55</w:t>
      </w:r>
      <w:r>
        <w:rPr>
          <w:b/>
        </w:rPr>
        <w:t>%-a vásárol használt ruhákat újak helyett</w:t>
      </w:r>
    </w:p>
    <w:p w14:paraId="5965AD4F" w14:textId="4CC8B3AA" w:rsidR="00500FC3" w:rsidRPr="004E5551" w:rsidRDefault="00500FC3" w:rsidP="00F579BB">
      <w:pPr>
        <w:pStyle w:val="ListParagraph"/>
        <w:spacing w:after="0"/>
        <w:jc w:val="both"/>
        <w:rPr>
          <w:szCs w:val="20"/>
        </w:rPr>
      </w:pPr>
    </w:p>
    <w:p w14:paraId="688245EE" w14:textId="4151CFCB" w:rsidR="00C20C2E" w:rsidRPr="00E96526" w:rsidRDefault="00785565" w:rsidP="00D653D3">
      <w:pPr>
        <w:jc w:val="both"/>
        <w:rPr>
          <w:rFonts w:ascii="Calibri" w:hAnsi="Calibri" w:cs="Calibri"/>
          <w:i/>
        </w:rPr>
      </w:pPr>
      <w:r>
        <w:rPr>
          <w:rFonts w:ascii="Calibri" w:hAnsi="Calibri"/>
          <w:i/>
        </w:rPr>
        <w:t xml:space="preserve">Ezek az adatok az Európai Beruházási Bank (EBB) 2021–2022. évi éghajlati felmérésének ma </w:t>
      </w:r>
      <w:hyperlink r:id="rId11" w:history="1">
        <w:r w:rsidRPr="00CF4AB6">
          <w:rPr>
            <w:rStyle w:val="Hyperlink"/>
            <w:rFonts w:ascii="Calibri" w:hAnsi="Calibri"/>
            <w:i/>
          </w:rPr>
          <w:t>közzétett második részéből származnak</w:t>
        </w:r>
      </w:hyperlink>
      <w:r>
        <w:rPr>
          <w:rFonts w:ascii="Calibri" w:hAnsi="Calibri"/>
          <w:i/>
        </w:rPr>
        <w:t>.</w:t>
      </w:r>
      <w:r>
        <w:rPr>
          <w:i/>
        </w:rPr>
        <w:t xml:space="preserve"> Az EBB az Európai </w:t>
      </w:r>
      <w:proofErr w:type="gramStart"/>
      <w:r>
        <w:rPr>
          <w:i/>
        </w:rPr>
        <w:t>Unió hitelezéssel</w:t>
      </w:r>
      <w:proofErr w:type="gramEnd"/>
      <w:r>
        <w:rPr>
          <w:i/>
        </w:rPr>
        <w:t xml:space="preserve"> foglalkozó szerve és a világ legnagyobb multilaterális hitelezője az éghajlatvédelmi projektek terén.</w:t>
      </w:r>
    </w:p>
    <w:p w14:paraId="7F00C668" w14:textId="4998346D" w:rsidR="00A771DB" w:rsidRPr="00E96526" w:rsidRDefault="00634983">
      <w:pPr>
        <w:jc w:val="both"/>
        <w:rPr>
          <w:b/>
          <w:bCs/>
          <w:sz w:val="28"/>
          <w:szCs w:val="24"/>
        </w:rPr>
      </w:pPr>
      <w:r>
        <w:rPr>
          <w:b/>
          <w:sz w:val="24"/>
        </w:rPr>
        <w:t xml:space="preserve">A </w:t>
      </w:r>
      <w:proofErr w:type="gramStart"/>
      <w:r>
        <w:rPr>
          <w:b/>
          <w:sz w:val="24"/>
        </w:rPr>
        <w:t>hibrid</w:t>
      </w:r>
      <w:proofErr w:type="gramEnd"/>
      <w:r>
        <w:rPr>
          <w:b/>
          <w:sz w:val="24"/>
        </w:rPr>
        <w:t xml:space="preserve"> vagy elektromos autókat jobban keresik, mint a benzines vagy dízeljárműveket</w:t>
      </w:r>
    </w:p>
    <w:p w14:paraId="70C7778A" w14:textId="6F20093E" w:rsidR="00C06331" w:rsidRPr="00E96526" w:rsidRDefault="00E667E2" w:rsidP="0072782C">
      <w:pPr>
        <w:jc w:val="both"/>
      </w:pPr>
      <w:r>
        <w:t xml:space="preserve">A jövőbeni autóvásárlásukkal kapcsolatos kérdésre a magyar gépkocsivásárlók 72%-a válaszolta azt, hogy </w:t>
      </w:r>
      <w:proofErr w:type="gramStart"/>
      <w:r>
        <w:t>hibrid</w:t>
      </w:r>
      <w:proofErr w:type="gramEnd"/>
      <w:r>
        <w:t xml:space="preserve"> vagy elektromos járművet választana. Ez a szám 44 százalékponttal magasabb, mint azon magyaroké, akik benzines vagy dízeljárművet vennének (28%). </w:t>
      </w:r>
      <w:proofErr w:type="gramStart"/>
      <w:r>
        <w:t>Konkrétabban</w:t>
      </w:r>
      <w:proofErr w:type="gramEnd"/>
      <w:r>
        <w:t xml:space="preserve"> 37% vásárolna hibrid gépkocsit és 35% döntene az elektromos autó mellett.</w:t>
      </w:r>
    </w:p>
    <w:p w14:paraId="2774B460" w14:textId="256FC545" w:rsidR="00FE09DC" w:rsidRPr="00E96526" w:rsidRDefault="00CF4AB6" w:rsidP="0072782C">
      <w:pPr>
        <w:jc w:val="both"/>
      </w:pPr>
      <w:r w:rsidRPr="00CF4AB6">
        <w:rPr>
          <w:noProof/>
          <w:lang w:val="en-US" w:eastAsia="en-US"/>
        </w:rPr>
        <w:lastRenderedPageBreak/>
        <w:drawing>
          <wp:inline distT="0" distB="0" distL="0" distR="0" wp14:anchorId="744254EF" wp14:editId="21C75B9B">
            <wp:extent cx="4410220" cy="4410220"/>
            <wp:effectExtent l="0" t="0" r="9525" b="9525"/>
            <wp:docPr id="1" name="Picture 1" descr="G:\private\Online and Multimedia Division\Projects\Climate surveys\Survey IV\Release 2\Infographics\Final infographics\1-Country pie chart\1-HU_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vate\Online and Multimedia Division\Projects\Climate surveys\Survey IV\Release 2\Infographics\Final infographics\1-Country pie chart\1-HU_H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1864" cy="4411864"/>
                    </a:xfrm>
                    <a:prstGeom prst="rect">
                      <a:avLst/>
                    </a:prstGeom>
                    <a:noFill/>
                    <a:ln>
                      <a:noFill/>
                    </a:ln>
                  </pic:spPr>
                </pic:pic>
              </a:graphicData>
            </a:graphic>
          </wp:inline>
        </w:drawing>
      </w:r>
    </w:p>
    <w:p w14:paraId="0F0362C0" w14:textId="5F853ED4" w:rsidR="00355484" w:rsidRPr="00E96526" w:rsidRDefault="00C06331" w:rsidP="00D653D3">
      <w:pPr>
        <w:jc w:val="both"/>
        <w:rPr>
          <w:szCs w:val="20"/>
        </w:rPr>
      </w:pPr>
      <w:r>
        <w:t xml:space="preserve">A 65 éves és idősebb magyar gépkocsivásárlók különösen érdeklődnek az elektromos autó vásárlása iránt (54%), míg a fiatalabb válaszadók nagyobb valószínűséggel választanának benzines vagy dízeljárművet (38%). Ez az arány 30 százalékponttal meghaladja a 65 évnél idősebbek körében mértet (közülük csupán 8% mondja azt, hogy benzines vagy dízeljárművet venne). A </w:t>
      </w:r>
      <w:proofErr w:type="gramStart"/>
      <w:r>
        <w:t>hibrid</w:t>
      </w:r>
      <w:proofErr w:type="gramEnd"/>
      <w:r>
        <w:t xml:space="preserve"> járműveket választanák a legtöbben a 30–64 év közötti magyarok közül: 40%-</w:t>
      </w:r>
      <w:proofErr w:type="spellStart"/>
      <w:r>
        <w:t>uk</w:t>
      </w:r>
      <w:proofErr w:type="spellEnd"/>
      <w:r>
        <w:t xml:space="preserve"> döntene a hibrid autó mellett, ami 13 százalékponttal magasabb a 30 évnél fiatalabbak körében mért aránynál (27%).</w:t>
      </w:r>
    </w:p>
    <w:p w14:paraId="311CAC72" w14:textId="0DFC78BA" w:rsidR="00C06331" w:rsidRPr="00E96526" w:rsidRDefault="00CF4AB6" w:rsidP="00D653D3">
      <w:pPr>
        <w:jc w:val="both"/>
        <w:rPr>
          <w:szCs w:val="20"/>
        </w:rPr>
      </w:pPr>
      <w:r w:rsidRPr="00CF4AB6">
        <w:rPr>
          <w:noProof/>
          <w:szCs w:val="20"/>
          <w:lang w:val="en-US" w:eastAsia="en-US"/>
        </w:rPr>
        <w:lastRenderedPageBreak/>
        <w:drawing>
          <wp:inline distT="0" distB="0" distL="0" distR="0" wp14:anchorId="47E86A76" wp14:editId="1EE06A1F">
            <wp:extent cx="2830282" cy="4453246"/>
            <wp:effectExtent l="0" t="0" r="8255" b="5080"/>
            <wp:docPr id="5" name="Picture 5" descr="G:\private\Online and Multimedia Division\Projects\Climate surveys\Survey IV\Release 2\Infographics\Final infographics\2-Country age bar chart\2-HU_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vate\Online and Multimedia Division\Projects\Climate surveys\Survey IV\Release 2\Infographics\Final infographics\2-Country age bar chart\2-HU_H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5356" cy="4476964"/>
                    </a:xfrm>
                    <a:prstGeom prst="rect">
                      <a:avLst/>
                    </a:prstGeom>
                    <a:noFill/>
                    <a:ln>
                      <a:noFill/>
                    </a:ln>
                  </pic:spPr>
                </pic:pic>
              </a:graphicData>
            </a:graphic>
          </wp:inline>
        </w:drawing>
      </w:r>
    </w:p>
    <w:p w14:paraId="1BF7B4E6" w14:textId="1F20E36C" w:rsidR="00FE09DC" w:rsidRPr="00E96526" w:rsidRDefault="00941616" w:rsidP="00D653D3">
      <w:pPr>
        <w:jc w:val="both"/>
      </w:pPr>
      <w:r>
        <w:t>Mindeközben a teljes magyar népesség 22%-a mondta azt, hogy jelenleg nincs kocsija és nem is tervezi a vásárlást (ez kilenc százalékponttal magasabb az uniós átlagnál).</w:t>
      </w:r>
    </w:p>
    <w:p w14:paraId="13E0578E" w14:textId="56C5AD40" w:rsidR="008572CB" w:rsidRPr="00E96526" w:rsidRDefault="004E74ED" w:rsidP="00F579BB">
      <w:r>
        <w:t>Tekintve, hogy a magyar gépkocsivásárlók 72%-</w:t>
      </w:r>
      <w:proofErr w:type="gramStart"/>
      <w:r>
        <w:t>a</w:t>
      </w:r>
      <w:proofErr w:type="gramEnd"/>
      <w:r>
        <w:t xml:space="preserve"> állítja, hogy hibrid vagy elektromos autót venne, a magyarok hasonló mértékben hajlanak arra, hogy új autóipari technológiákra térjenek át, mint a hor</w:t>
      </w:r>
      <w:r w:rsidR="00DA7291">
        <w:t>vátok (73%) és a lengyelek (73%), de nagyobb mértékben, mint</w:t>
      </w:r>
      <w:r>
        <w:t xml:space="preserve"> az osztrákok (51%), illetve a csehek (48%). </w:t>
      </w:r>
    </w:p>
    <w:p w14:paraId="04DA91B2" w14:textId="021DCA58" w:rsidR="008572CB" w:rsidRPr="00E96526" w:rsidRDefault="008572CB" w:rsidP="008572CB">
      <w:proofErr w:type="gramStart"/>
      <w:r>
        <w:t>Konkrétabban</w:t>
      </w:r>
      <w:proofErr w:type="gramEnd"/>
      <w:r>
        <w:t xml:space="preserve"> úgy tűnik, a magyar gépkocsivásárlók következő autónak leginkább hibridet választanának: 37%-</w:t>
      </w:r>
      <w:proofErr w:type="spellStart"/>
      <w:r>
        <w:t>uk</w:t>
      </w:r>
      <w:proofErr w:type="spellEnd"/>
      <w:r>
        <w:t xml:space="preserve"> állítja, hogy ilyen típusú lesz a következő kocsija, hasonlóan a horvátokhoz (36%). A magyarok jobban hajlanak a </w:t>
      </w:r>
      <w:proofErr w:type="gramStart"/>
      <w:r>
        <w:t>hibrid</w:t>
      </w:r>
      <w:proofErr w:type="gramEnd"/>
      <w:r>
        <w:t xml:space="preserve"> jármű vásárlására, mint a csehek (31%) és az osztrákok (28%). Ugyanakkor a magyarok kevésbé választanának </w:t>
      </w:r>
      <w:proofErr w:type="gramStart"/>
      <w:r>
        <w:t>hibridet</w:t>
      </w:r>
      <w:proofErr w:type="gramEnd"/>
      <w:r>
        <w:t xml:space="preserve">, mint a lengyelek (46%).  </w:t>
      </w:r>
    </w:p>
    <w:p w14:paraId="50141262" w14:textId="7EAC44F2" w:rsidR="008572CB" w:rsidRPr="00E96526" w:rsidRDefault="00127BC6" w:rsidP="008572CB">
      <w:r>
        <w:lastRenderedPageBreak/>
        <w:t>Az adatok szerint a magyar gépkocsivásárlók hasonló arányban vásárolnának elektromos autót (35%), mint a horvátok (37%). Ezzel szemben a közép-európai átlag</w:t>
      </w:r>
      <w:r w:rsidR="00DA7291" w:rsidRPr="00E96526">
        <w:rPr>
          <w:rStyle w:val="FootnoteReference"/>
          <w:lang w:val="en-GB"/>
        </w:rPr>
        <w:footnoteReference w:id="2"/>
      </w:r>
      <w:r w:rsidR="00DA7291">
        <w:t xml:space="preserve"> </w:t>
      </w:r>
      <w:r>
        <w:t>(</w:t>
      </w:r>
      <w:r w:rsidR="00DA7291">
        <w:t>30</w:t>
      </w:r>
      <w:r>
        <w:t>%)</w:t>
      </w:r>
      <w:r w:rsidR="00DA7291">
        <w:t>, a lengyel gépkocsivásárlók (27</w:t>
      </w:r>
      <w:r>
        <w:t>%), az osztrákok (23%) és különösen a csehek (17%) a jelek szerint kevésbé tartják vonzónak az elektromos járművet.</w:t>
      </w:r>
    </w:p>
    <w:p w14:paraId="4267460F" w14:textId="0EB1E99F" w:rsidR="006A6533" w:rsidRDefault="006A6533" w:rsidP="006A6533">
      <w:r>
        <w:t xml:space="preserve">Általában véve az európai gépkocsivásárlók hajlanak a </w:t>
      </w:r>
      <w:proofErr w:type="gramStart"/>
      <w:r>
        <w:t>hibrid</w:t>
      </w:r>
      <w:proofErr w:type="gramEnd"/>
      <w:r>
        <w:t xml:space="preserve"> járművek felé (39%), míg második helyen a benzines, illetve dízeljárművek állnak (33%), az elektromos autó pedig a harmadik (28% állítja, hogy elektromos autót venne). Míg elektromos autót a kínai gépkocsivásárlók vennének a legnagyobb arányban (44%), az amerikaiak első választása a </w:t>
      </w:r>
      <w:proofErr w:type="gramStart"/>
      <w:r>
        <w:t>hibrid</w:t>
      </w:r>
      <w:proofErr w:type="gramEnd"/>
      <w:r>
        <w:t xml:space="preserve"> jármű (38%), amit a benzines vagy dízeljármű(33%), majd pedig az elektromos (29%) autó követ.</w:t>
      </w:r>
    </w:p>
    <w:p w14:paraId="2864E8A5" w14:textId="481FB3BB" w:rsidR="006A6533" w:rsidRPr="00A542B6" w:rsidRDefault="00CF4AB6" w:rsidP="006A6533">
      <w:r w:rsidRPr="00CF4AB6">
        <w:rPr>
          <w:noProof/>
          <w:lang w:val="en-US" w:eastAsia="en-US"/>
        </w:rPr>
        <w:lastRenderedPageBreak/>
        <w:drawing>
          <wp:inline distT="0" distB="0" distL="0" distR="0" wp14:anchorId="2DEFAC14" wp14:editId="3B0BD4CF">
            <wp:extent cx="2449376" cy="7599504"/>
            <wp:effectExtent l="0" t="0" r="8255" b="1905"/>
            <wp:docPr id="6" name="Picture 6" descr="G:\private\Online and Multimedia Division\Projects\Climate surveys\Survey IV\Release 2\Infographics\Final infographics\3-EU bar chart cars\3-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ivate\Online and Multimedia Division\Projects\Climate surveys\Survey IV\Release 2\Infographics\Final infographics\3-EU bar chart cars\3-H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955" cy="7616814"/>
                    </a:xfrm>
                    <a:prstGeom prst="rect">
                      <a:avLst/>
                    </a:prstGeom>
                    <a:noFill/>
                    <a:ln>
                      <a:noFill/>
                    </a:ln>
                  </pic:spPr>
                </pic:pic>
              </a:graphicData>
            </a:graphic>
          </wp:inline>
        </w:drawing>
      </w:r>
    </w:p>
    <w:p w14:paraId="17868671" w14:textId="5FD7F408" w:rsidR="00AD1317" w:rsidRPr="00A542B6" w:rsidRDefault="00AD1317" w:rsidP="00AD1317">
      <w:pPr>
        <w:jc w:val="both"/>
        <w:rPr>
          <w:b/>
          <w:bCs/>
          <w:sz w:val="24"/>
        </w:rPr>
      </w:pPr>
      <w:r>
        <w:rPr>
          <w:b/>
          <w:sz w:val="24"/>
        </w:rPr>
        <w:lastRenderedPageBreak/>
        <w:t xml:space="preserve">Éghajlatvédelem </w:t>
      </w:r>
      <w:proofErr w:type="gramStart"/>
      <w:r>
        <w:rPr>
          <w:b/>
          <w:sz w:val="24"/>
        </w:rPr>
        <w:t>kontra repülős</w:t>
      </w:r>
      <w:proofErr w:type="gramEnd"/>
      <w:r>
        <w:rPr>
          <w:b/>
          <w:sz w:val="24"/>
        </w:rPr>
        <w:t xml:space="preserve"> vakáció</w:t>
      </w:r>
    </w:p>
    <w:p w14:paraId="1EE06655" w14:textId="3164BB66" w:rsidR="00AD1317" w:rsidRPr="00A542B6" w:rsidRDefault="00AD1317" w:rsidP="00AD1317">
      <w:pPr>
        <w:jc w:val="both"/>
        <w:rPr>
          <w:szCs w:val="20"/>
        </w:rPr>
      </w:pPr>
      <w:r>
        <w:t>A magyarok 68%-a mondja azt, hogy nyaralása helyszínének megválasztásakor figyelembe veszi az éghajlatváltozást. Ez a megfontolás még erőteljesebben van jelen a 30 évnél fiatalabbak körében (70%). Ugyanakkor a f</w:t>
      </w:r>
      <w:r w:rsidR="00DA7291">
        <w:t>iatalok több mint egyharmada (34</w:t>
      </w:r>
      <w:r>
        <w:t xml:space="preserve">%) mondja azt, hogy 2022-ben repülőre fog szállni a nyaraláshoz (ez az arány a 30–64 évesek körében 17%, a 65 év felettieknél pedig 9%). Több mint egyötödük (22%) azt állítja, hogy távoli célpontra fog repülni (ez az arány a 30–64 évesek körében 9%, a 65 év felettieknél pedig 5%). </w:t>
      </w:r>
    </w:p>
    <w:p w14:paraId="4DFA4F25" w14:textId="31FD1F7F" w:rsidR="00D0064D" w:rsidRPr="00A542B6" w:rsidRDefault="00DD3976">
      <w:pPr>
        <w:spacing w:after="160" w:line="259" w:lineRule="auto"/>
        <w:rPr>
          <w:b/>
          <w:bCs/>
          <w:sz w:val="24"/>
          <w:szCs w:val="24"/>
        </w:rPr>
      </w:pPr>
      <w:r>
        <w:rPr>
          <w:b/>
          <w:sz w:val="24"/>
        </w:rPr>
        <w:t>Ruhavásárlás, a munkahely megválasztása, döntés a bankról: miként befolyásolják az emberek döntéseit az éghajlattal kapcsolatos megfontolások?</w:t>
      </w:r>
    </w:p>
    <w:p w14:paraId="5ED8B215" w14:textId="3E920A44" w:rsidR="00D0064D" w:rsidRDefault="00E80F94" w:rsidP="005A6FA6">
      <w:pPr>
        <w:spacing w:line="264" w:lineRule="auto"/>
        <w:jc w:val="both"/>
      </w:pPr>
      <w:r>
        <w:t>A magyarok 54%-</w:t>
      </w:r>
      <w:proofErr w:type="gramStart"/>
      <w:r>
        <w:t>a</w:t>
      </w:r>
      <w:proofErr w:type="gramEnd"/>
      <w:r>
        <w:t xml:space="preserve"> állítja, hogy használt ruhákat vásárol újak vásárlása helyett (ez 12 százalékponttal meghaladja az uniós átlagot). A nők esetében ez gyakoribb, mint a férfiaknál (59% a </w:t>
      </w:r>
      <w:r w:rsidR="00CF4AB6">
        <w:t>nők körében, 47% a férfiaknál).</w:t>
      </w:r>
    </w:p>
    <w:p w14:paraId="03A096AB" w14:textId="76487B0D" w:rsidR="00CF4AB6" w:rsidRPr="00A542B6" w:rsidRDefault="00CF4AB6" w:rsidP="005A6FA6">
      <w:pPr>
        <w:spacing w:line="264" w:lineRule="auto"/>
        <w:jc w:val="both"/>
        <w:rPr>
          <w:rFonts w:cstheme="minorHAnsi"/>
          <w:bCs/>
        </w:rPr>
      </w:pPr>
      <w:r w:rsidRPr="00CF4AB6">
        <w:rPr>
          <w:rFonts w:cstheme="minorHAnsi"/>
          <w:bCs/>
          <w:noProof/>
          <w:lang w:val="en-US" w:eastAsia="en-US"/>
        </w:rPr>
        <w:drawing>
          <wp:inline distT="0" distB="0" distL="0" distR="0" wp14:anchorId="0B57716F" wp14:editId="325FDFBF">
            <wp:extent cx="4607658" cy="4607658"/>
            <wp:effectExtent l="0" t="0" r="2540" b="2540"/>
            <wp:docPr id="7" name="Picture 7" descr="G:\private\Online and Multimedia Division\Projects\Climate surveys\Survey IV\Release 2\Infographics\Final infographics\4-EU heat map clothes\4-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ivate\Online and Multimedia Division\Projects\Climate surveys\Survey IV\Release 2\Infographics\Final infographics\4-EU heat map clothes\4-H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409" cy="4622409"/>
                    </a:xfrm>
                    <a:prstGeom prst="rect">
                      <a:avLst/>
                    </a:prstGeom>
                    <a:noFill/>
                    <a:ln>
                      <a:noFill/>
                    </a:ln>
                  </pic:spPr>
                </pic:pic>
              </a:graphicData>
            </a:graphic>
          </wp:inline>
        </w:drawing>
      </w:r>
    </w:p>
    <w:p w14:paraId="5D94F9D2" w14:textId="745A525A" w:rsidR="003300BD" w:rsidRPr="00A542B6" w:rsidRDefault="00772A92" w:rsidP="00D0064D">
      <w:pPr>
        <w:spacing w:line="264" w:lineRule="auto"/>
        <w:rPr>
          <w:rFonts w:eastAsia="PMingLiU" w:cstheme="minorHAnsi"/>
          <w:bCs/>
        </w:rPr>
      </w:pPr>
      <w:r>
        <w:lastRenderedPageBreak/>
        <w:t>A magyarok 49%-a veszi figyelembe álláskereséskor az éghajlatváltozást. Különösen jellemző ez a 15–29 év közöttiekre: 58%-</w:t>
      </w:r>
      <w:proofErr w:type="spellStart"/>
      <w:r>
        <w:t>uk</w:t>
      </w:r>
      <w:proofErr w:type="spellEnd"/>
      <w:r>
        <w:t xml:space="preserve"> van tekintettel az éghajlatváltozásra, amikor állást keres, szemben a 30–64 év közöttiek 48%-</w:t>
      </w:r>
      <w:proofErr w:type="spellStart"/>
      <w:r>
        <w:t>os</w:t>
      </w:r>
      <w:proofErr w:type="spellEnd"/>
      <w:r>
        <w:t xml:space="preserve"> arányával (ami 10 százalékponttal alacsonyabb). </w:t>
      </w:r>
    </w:p>
    <w:p w14:paraId="6CD30BBB" w14:textId="3F75D9E7" w:rsidR="00C85F72" w:rsidRPr="00A542B6" w:rsidRDefault="00AF27EC" w:rsidP="00D0064D">
      <w:pPr>
        <w:spacing w:line="264" w:lineRule="auto"/>
        <w:rPr>
          <w:rFonts w:eastAsia="PMingLiU" w:cstheme="minorHAnsi"/>
          <w:bCs/>
        </w:rPr>
      </w:pPr>
      <w:r>
        <w:t xml:space="preserve">Összességében a magyarok 53%-a veszi figyelembe az éghajlatváltozást, amikor bankot választ vagy befekteti megtakarításait. </w:t>
      </w:r>
    </w:p>
    <w:p w14:paraId="19F1DFD1" w14:textId="1B5C65E1" w:rsidR="00F16EAA" w:rsidRDefault="00F16EAA" w:rsidP="00F16EAA">
      <w:pPr>
        <w:rPr>
          <w:rFonts w:eastAsiaTheme="minorHAnsi"/>
        </w:rPr>
      </w:pPr>
      <w:r>
        <w:t xml:space="preserve">Amint azt az EBB alelnöke, Teresa </w:t>
      </w:r>
      <w:proofErr w:type="spellStart"/>
      <w:r>
        <w:t>Czerwińska</w:t>
      </w:r>
      <w:proofErr w:type="spellEnd"/>
      <w:r>
        <w:t xml:space="preserve"> kifejtette: „Néhány egyértelmű </w:t>
      </w:r>
      <w:proofErr w:type="gramStart"/>
      <w:r>
        <w:t>generációs</w:t>
      </w:r>
      <w:proofErr w:type="gramEnd"/>
      <w:r>
        <w:t xml:space="preserve"> különbség ellenére a magyarok egyre inkább fenntarthatóbbá alakítják mobilitásukat és fogyasztásukat, ezáltal küzdve az éghajlatváltozás ellen. Ez az egyének magatartásában tapasztalható elmozdulás azt mutatja, hogy az emberek minden korcsoportban készek erőteljesebb kötelezettségvállalásokat tenni mindennapjaikban, elősegítendő az éghajlati válság enyhítését. Ezek a szándékok – amelyeknek a COP26 </w:t>
      </w:r>
      <w:proofErr w:type="gramStart"/>
      <w:r>
        <w:t>konferencia</w:t>
      </w:r>
      <w:proofErr w:type="gramEnd"/>
      <w:r>
        <w:t xml:space="preserve"> idején is hangot adtak – egyértelműen mutatják a zöld átállás előmozdítása iránti erőfeszítéseink támogatottságát. Magyarország az uniós tagállamok közül elsőként ratifikálta a Párizsi Megállapodást, és az, hogy a polgárok is készek cselekedni, jelzi annak általános elismertségét, hogy az </w:t>
      </w:r>
      <w:proofErr w:type="gramStart"/>
      <w:r>
        <w:t>éghajlat-politikai intézkedések</w:t>
      </w:r>
      <w:proofErr w:type="gramEnd"/>
      <w:r>
        <w:t xml:space="preserve"> fontosak bolygónk biztonságos és fenntartható jövőjéhez. Az Európai Beruházási </w:t>
      </w:r>
      <w:proofErr w:type="gramStart"/>
      <w:r>
        <w:t>Banknak</w:t>
      </w:r>
      <w:proofErr w:type="gramEnd"/>
      <w:r>
        <w:t xml:space="preserve"> mint az EU klímabankjának egyik legfontosabb szerepe az elektromos mobilitásra összpontosító innovatív projektek és más olyan fenntartható mobilitási megoldások finanszírozása, amelyek segítenek mindannyiunk számára kiépíteni egy </w:t>
      </w:r>
      <w:proofErr w:type="spellStart"/>
      <w:r>
        <w:t>dekarbonizált</w:t>
      </w:r>
      <w:proofErr w:type="spellEnd"/>
      <w:r>
        <w:t xml:space="preserve"> jövőt.” </w:t>
      </w:r>
    </w:p>
    <w:p w14:paraId="4316C939" w14:textId="64694E13" w:rsidR="00114A64" w:rsidRPr="00176F81" w:rsidRDefault="00114A64" w:rsidP="00555D4D">
      <w:pPr>
        <w:jc w:val="both"/>
        <w:rPr>
          <w:rFonts w:eastAsiaTheme="minorHAnsi"/>
        </w:rPr>
      </w:pPr>
      <w:r>
        <w:t xml:space="preserve">Töltse le </w:t>
      </w:r>
      <w:hyperlink r:id="rId16" w:history="1">
        <w:r>
          <w:rPr>
            <w:rStyle w:val="Hyperlink"/>
          </w:rPr>
          <w:t>itt</w:t>
        </w:r>
      </w:hyperlink>
      <w:r>
        <w:t xml:space="preserve"> az Excel táblázatot a felmérésben részt vevő mind a 30 ország nyers adataival.</w:t>
      </w:r>
      <w:r>
        <w:rPr>
          <w:rFonts w:ascii="Arial" w:hAnsi="Arial"/>
        </w:rPr>
        <w:t xml:space="preserve"> </w:t>
      </w:r>
      <w:r>
        <w:t>Az EBB éghajlati felmérése negyedik körének főbb megállapításai az EBB honlapján érhetők el </w:t>
      </w:r>
      <w:hyperlink r:id="rId17" w:history="1">
        <w:r>
          <w:rPr>
            <w:rStyle w:val="Hyperlink"/>
          </w:rPr>
          <w:t>ide</w:t>
        </w:r>
      </w:hyperlink>
      <w:r>
        <w:t> kattintva.</w:t>
      </w:r>
    </w:p>
    <w:p w14:paraId="293342B4" w14:textId="77777777" w:rsidR="00BD0A81" w:rsidRPr="008F7E41" w:rsidRDefault="00BD0A81" w:rsidP="00BD0A81">
      <w:pPr>
        <w:spacing w:after="0"/>
        <w:jc w:val="both"/>
        <w:rPr>
          <w:b/>
          <w:bCs/>
        </w:rPr>
      </w:pPr>
      <w:r>
        <w:rPr>
          <w:b/>
        </w:rPr>
        <w:t>VÉGE</w:t>
      </w:r>
    </w:p>
    <w:p w14:paraId="2E92BC5F" w14:textId="77777777" w:rsidR="00BD0A81" w:rsidRPr="004E5551" w:rsidRDefault="00BD0A81" w:rsidP="00BD0A81">
      <w:pPr>
        <w:spacing w:after="0"/>
        <w:jc w:val="both"/>
        <w:rPr>
          <w:b/>
          <w:bCs/>
        </w:rPr>
      </w:pPr>
    </w:p>
    <w:p w14:paraId="4E515F34" w14:textId="2641F683" w:rsidR="00BD0A81" w:rsidRPr="008F7E41" w:rsidRDefault="00BD0A81" w:rsidP="00BD0A81">
      <w:pPr>
        <w:jc w:val="both"/>
      </w:pPr>
      <w:r>
        <w:rPr>
          <w:b/>
        </w:rPr>
        <w:t xml:space="preserve">Médiakapcsolatok – </w:t>
      </w:r>
      <w:r>
        <w:t>JÓNA Tibor (</w:t>
      </w:r>
      <w:hyperlink r:id="rId18" w:history="1">
        <w:r>
          <w:rPr>
            <w:rStyle w:val="Hyperlink"/>
          </w:rPr>
          <w:t>t.jona@eib.org</w:t>
        </w:r>
      </w:hyperlink>
      <w:r>
        <w:t xml:space="preserve">) </w:t>
      </w:r>
    </w:p>
    <w:p w14:paraId="22BE2DCD" w14:textId="77777777" w:rsidR="00BD0A81" w:rsidRPr="008F7E41" w:rsidRDefault="00BD0A81" w:rsidP="00BD0A81">
      <w:pPr>
        <w:spacing w:after="160" w:line="256" w:lineRule="auto"/>
        <w:jc w:val="both"/>
        <w:rPr>
          <w:rFonts w:eastAsiaTheme="minorHAnsi"/>
          <w:b/>
        </w:rPr>
      </w:pPr>
      <w:r>
        <w:rPr>
          <w:b/>
        </w:rPr>
        <w:t xml:space="preserve">Az EBB éghajlati felméréséről </w:t>
      </w:r>
    </w:p>
    <w:p w14:paraId="74EFD821" w14:textId="42BD34B7" w:rsidR="00BD0A81" w:rsidRPr="008F7E41" w:rsidRDefault="00BD0A81" w:rsidP="00BD0A81">
      <w:pPr>
        <w:tabs>
          <w:tab w:val="left" w:pos="1305"/>
        </w:tabs>
        <w:jc w:val="both"/>
        <w:rPr>
          <w:rFonts w:eastAsia="Calibri" w:cstheme="minorHAnsi"/>
        </w:rPr>
      </w:pPr>
      <w:r>
        <w:rPr>
          <w:rFonts w:ascii="Calibri" w:hAnsi="Calibri"/>
        </w:rPr>
        <w:t xml:space="preserve">Az Európai Beruházási Bank útjára indította az EBB éghajlati felmérésének negyedik körét, amelynek keretében behatóan </w:t>
      </w:r>
      <w:proofErr w:type="spellStart"/>
      <w:r>
        <w:rPr>
          <w:rFonts w:ascii="Calibri" w:hAnsi="Calibri"/>
        </w:rPr>
        <w:t>elemzi</w:t>
      </w:r>
      <w:proofErr w:type="spellEnd"/>
      <w:r>
        <w:rPr>
          <w:rFonts w:ascii="Calibri" w:hAnsi="Calibri"/>
        </w:rPr>
        <w:t xml:space="preserve">, miként vélekednek az emberek az éghajlatváltozással kapcsolatban. Az EBB éghajlati felmérésének a BVA piackutató céggel partnerségben készített negyedik köre információkkal kíván szolgálni az </w:t>
      </w:r>
      <w:proofErr w:type="gramStart"/>
      <w:r>
        <w:rPr>
          <w:rFonts w:ascii="Calibri" w:hAnsi="Calibri"/>
        </w:rPr>
        <w:t>éghajlat-politikai intézkedésekkel</w:t>
      </w:r>
      <w:proofErr w:type="gramEnd"/>
      <w:r>
        <w:rPr>
          <w:rFonts w:ascii="Calibri" w:hAnsi="Calibri"/>
        </w:rPr>
        <w:t xml:space="preserve"> kapcsolatos attitűdökről és várakozásokról folytatott szélesebb vitához. 2021. augusztus 26. és szeptember 22. között több mint 30 000 válaszadó vett részt a felmérésben; a 30 megkérdezett ország mindegyikében reprezentatív panelt alakítottak ki.</w:t>
      </w:r>
      <w:r>
        <w:t xml:space="preserve"> </w:t>
      </w:r>
    </w:p>
    <w:p w14:paraId="30434ED8" w14:textId="77777777" w:rsidR="00BD0A81" w:rsidRPr="008F7E41" w:rsidRDefault="00BD0A81" w:rsidP="00BD0A81">
      <w:pPr>
        <w:spacing w:after="160" w:line="256" w:lineRule="auto"/>
        <w:jc w:val="both"/>
        <w:rPr>
          <w:rFonts w:eastAsiaTheme="minorHAnsi" w:cstheme="minorHAnsi"/>
          <w:b/>
        </w:rPr>
      </w:pPr>
      <w:r>
        <w:rPr>
          <w:b/>
        </w:rPr>
        <w:t>Az Európai Beruházási Bankról</w:t>
      </w:r>
    </w:p>
    <w:p w14:paraId="21347AD4" w14:textId="2E3D9293" w:rsidR="00BD0A81" w:rsidRPr="008F7E41" w:rsidRDefault="00BD0A81" w:rsidP="00BD0A81">
      <w:pPr>
        <w:jc w:val="both"/>
        <w:rPr>
          <w:rFonts w:eastAsia="Times New Roman" w:cstheme="minorHAnsi"/>
        </w:rPr>
      </w:pPr>
      <w:r>
        <w:t xml:space="preserve">Az Európai Beruházási Bank (EBB) az Európai Unió hosszú lejáratú hitelezéssel foglalkozó pénzintézete, amelynek tulajdonosai az uniós tagállamok. Hosszú lejáratú </w:t>
      </w:r>
      <w:proofErr w:type="gramStart"/>
      <w:r>
        <w:t>finanszírozást</w:t>
      </w:r>
      <w:proofErr w:type="gramEnd"/>
      <w:r>
        <w:t xml:space="preserve"> biztosít pénzügyi szempontból észszerű beruházásokhoz, hozzájárulva ezzel az EU szakpolitikai céljainak megvalósításához Európán belül és kívül egyaránt. Az Európai Beruházási Bank mintegy 160 országban tevékenykedik, és a világ </w:t>
      </w:r>
      <w:r>
        <w:lastRenderedPageBreak/>
        <w:t xml:space="preserve">legnagyobb </w:t>
      </w:r>
      <w:proofErr w:type="gramStart"/>
      <w:r>
        <w:t>multilaterális</w:t>
      </w:r>
      <w:proofErr w:type="gramEnd"/>
      <w:r>
        <w:t xml:space="preserve"> hitelezője az éghajlatvédelmi projektek terén. Az EBB csoport nemrégiben elfogadta a klímabank ütemtervét, hogy teljesítse ambiciózus programját, miszerint a 2030-ig terjedő évtizedben 1 billió euró összegű beruházást fog támogatni az éghajlat-politikai intézkedések és a környezeti fenntarthatóság területén, és 2025-re az EBB-finanszírozás több mint 50%-át </w:t>
      </w:r>
      <w:proofErr w:type="gramStart"/>
      <w:r>
        <w:t>éghajlat-politikai intézkedésekre</w:t>
      </w:r>
      <w:proofErr w:type="gramEnd"/>
      <w:r>
        <w:t xml:space="preserve"> és környezeti fenntarthatóságra fordítja. Az ütemterv részeként 2021 eleje óta az EBB csoport összes új műveletét is összehangolják a Párizsi Megállapodás céljaival és elveivel. </w:t>
      </w:r>
    </w:p>
    <w:p w14:paraId="7558DFFE" w14:textId="77777777" w:rsidR="00BD0A81" w:rsidRPr="008F7E41" w:rsidRDefault="00BD0A81" w:rsidP="00BD0A81">
      <w:pPr>
        <w:jc w:val="both"/>
        <w:rPr>
          <w:rFonts w:cstheme="minorHAnsi"/>
          <w:b/>
        </w:rPr>
      </w:pPr>
      <w:r>
        <w:rPr>
          <w:b/>
        </w:rPr>
        <w:t>A BVA-</w:t>
      </w:r>
      <w:proofErr w:type="spellStart"/>
      <w:r>
        <w:rPr>
          <w:b/>
        </w:rPr>
        <w:t>ról</w:t>
      </w:r>
      <w:proofErr w:type="spellEnd"/>
    </w:p>
    <w:p w14:paraId="4CF2DA7D" w14:textId="0F561DD5" w:rsidR="00114A64" w:rsidRPr="009A7743" w:rsidRDefault="00BD0A81" w:rsidP="00F579BB">
      <w:pPr>
        <w:jc w:val="both"/>
        <w:rPr>
          <w:bCs/>
        </w:rPr>
      </w:pPr>
      <w:r>
        <w:t xml:space="preserve">A BVA közvélemény-kutató és tanácsadó céget az ágazat egyik leginnovatívabb piackutató </w:t>
      </w:r>
      <w:proofErr w:type="spellStart"/>
      <w:r>
        <w:t>cégeként</w:t>
      </w:r>
      <w:proofErr w:type="spellEnd"/>
      <w:r>
        <w:t xml:space="preserve"> tartják számon. A viselkedésmarketingre szakosodott BVA az adattudományt és a társadalomtudományt ötvözi az adatok </w:t>
      </w:r>
      <w:proofErr w:type="gramStart"/>
      <w:r>
        <w:t>inspirálóvá</w:t>
      </w:r>
      <w:proofErr w:type="gramEnd"/>
      <w:r>
        <w:t xml:space="preserve"> tételéhez és életre keltéséhez. A BVA emellett a </w:t>
      </w:r>
      <w:proofErr w:type="gramStart"/>
      <w:r>
        <w:t>világ vezető</w:t>
      </w:r>
      <w:proofErr w:type="gramEnd"/>
      <w:r>
        <w:t xml:space="preserve"> piackutatóit és közvélemény-kutatóit tömörítő, több mint 40 tagot számláló globális WIN hálózat (</w:t>
      </w:r>
      <w:proofErr w:type="spellStart"/>
      <w:r>
        <w:t>Worldwide</w:t>
      </w:r>
      <w:proofErr w:type="spellEnd"/>
      <w:r>
        <w:t xml:space="preserve"> Independent Networ</w:t>
      </w:r>
      <w:bookmarkStart w:id="0" w:name="_GoBack"/>
      <w:bookmarkEnd w:id="0"/>
      <w:r>
        <w:t>k of Market Research) tagja.</w:t>
      </w:r>
    </w:p>
    <w:sectPr w:rsidR="00114A64" w:rsidRPr="009A7743">
      <w:headerReference w:type="default" r:id="rId1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C9533" w16cex:dateUtc="2021-12-09T13:46:00Z"/>
  <w16cex:commentExtensible w16cex:durableId="255C8981" w16cex:dateUtc="2021-12-09T12:56:00Z"/>
  <w16cex:commentExtensible w16cex:durableId="255C8F2E" w16cex:dateUtc="2021-12-09T13:20:00Z"/>
  <w16cex:commentExtensible w16cex:durableId="255C9032" w16cex:dateUtc="2021-12-09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AAB1C3" w16cid:durableId="255C9533"/>
  <w16cid:commentId w16cid:paraId="7CDB3BEA" w16cid:durableId="255C8981"/>
  <w16cid:commentId w16cid:paraId="0E854FDF" w16cid:durableId="255C8F2E"/>
  <w16cid:commentId w16cid:paraId="701033BB" w16cid:durableId="255C903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6FAA" w14:textId="77777777" w:rsidR="00AC4760" w:rsidRDefault="00AC4760" w:rsidP="00114A64">
      <w:pPr>
        <w:spacing w:after="0" w:line="240" w:lineRule="auto"/>
      </w:pPr>
      <w:r>
        <w:separator/>
      </w:r>
    </w:p>
  </w:endnote>
  <w:endnote w:type="continuationSeparator" w:id="0">
    <w:p w14:paraId="316438E1" w14:textId="77777777" w:rsidR="00AC4760" w:rsidRDefault="00AC4760" w:rsidP="00114A64">
      <w:pPr>
        <w:spacing w:after="0" w:line="240" w:lineRule="auto"/>
      </w:pPr>
      <w:r>
        <w:continuationSeparator/>
      </w:r>
    </w:p>
  </w:endnote>
  <w:endnote w:type="continuationNotice" w:id="1">
    <w:p w14:paraId="6EA1E6B5" w14:textId="77777777" w:rsidR="00AC4760" w:rsidRDefault="00AC47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1BD2B" w14:textId="77777777" w:rsidR="00AC4760" w:rsidRDefault="00AC4760" w:rsidP="00114A64">
      <w:pPr>
        <w:spacing w:after="0" w:line="240" w:lineRule="auto"/>
      </w:pPr>
      <w:r>
        <w:separator/>
      </w:r>
    </w:p>
  </w:footnote>
  <w:footnote w:type="continuationSeparator" w:id="0">
    <w:p w14:paraId="5DE39F09" w14:textId="77777777" w:rsidR="00AC4760" w:rsidRDefault="00AC4760" w:rsidP="00114A64">
      <w:pPr>
        <w:spacing w:after="0" w:line="240" w:lineRule="auto"/>
      </w:pPr>
      <w:r>
        <w:continuationSeparator/>
      </w:r>
    </w:p>
  </w:footnote>
  <w:footnote w:type="continuationNotice" w:id="1">
    <w:p w14:paraId="721128E2" w14:textId="77777777" w:rsidR="00AC4760" w:rsidRDefault="00AC4760">
      <w:pPr>
        <w:spacing w:after="0" w:line="240" w:lineRule="auto"/>
      </w:pPr>
    </w:p>
  </w:footnote>
  <w:footnote w:id="2">
    <w:p w14:paraId="62322F15" w14:textId="77777777" w:rsidR="00DA7291" w:rsidRDefault="00DA7291" w:rsidP="00DA7291">
      <w:pPr>
        <w:pStyle w:val="FootnoteText"/>
      </w:pPr>
      <w:r>
        <w:rPr>
          <w:rStyle w:val="FootnoteReference"/>
        </w:rPr>
        <w:footnoteRef/>
      </w:r>
      <w:r>
        <w:t xml:space="preserve"> A kelet-európai országok közé tartozik Bulgária, a Cseh Köztársaság, Észtország, Horvátország, Lengyelország, Lettország, Litvánia, Magyarország, Románia, Szlovákia és Szlovénia.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555C" w14:textId="166B212D" w:rsidR="00114A64" w:rsidRDefault="00B874E4">
    <w:pPr>
      <w:pStyle w:val="Header"/>
    </w:pPr>
    <w:r w:rsidRPr="00B335C5">
      <w:rPr>
        <w:noProof/>
        <w:lang w:val="en-US" w:eastAsia="en-US"/>
      </w:rPr>
      <w:drawing>
        <wp:inline distT="0" distB="0" distL="0" distR="0" wp14:anchorId="26E4774B" wp14:editId="25C137B6">
          <wp:extent cx="1969942" cy="1062038"/>
          <wp:effectExtent l="0" t="0" r="0" b="5080"/>
          <wp:docPr id="23" name="Picture 23" descr="K:\01_Instructions\02_Formatting\EIB logos\EIB_EU_SLOGAN_B_Hungarian_RVB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01_Instructions\02_Formatting\EIB logos\EIB_EU_SLOGAN_B_Hungarian_RVB_7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7830" cy="10716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E6FA3"/>
    <w:multiLevelType w:val="hybridMultilevel"/>
    <w:tmpl w:val="3AC6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E01B5"/>
    <w:multiLevelType w:val="hybridMultilevel"/>
    <w:tmpl w:val="7B8E66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312373"/>
    <w:multiLevelType w:val="hybridMultilevel"/>
    <w:tmpl w:val="7CFC4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56167F"/>
    <w:multiLevelType w:val="hybridMultilevel"/>
    <w:tmpl w:val="C2C2191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1248C2"/>
    <w:multiLevelType w:val="hybridMultilevel"/>
    <w:tmpl w:val="087E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C69C1"/>
    <w:multiLevelType w:val="hybridMultilevel"/>
    <w:tmpl w:val="D6E6B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FA90624"/>
    <w:multiLevelType w:val="hybridMultilevel"/>
    <w:tmpl w:val="99443F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F65E6B"/>
    <w:multiLevelType w:val="hybridMultilevel"/>
    <w:tmpl w:val="F08CC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64"/>
    <w:rsid w:val="0000168C"/>
    <w:rsid w:val="00003EEE"/>
    <w:rsid w:val="00007981"/>
    <w:rsid w:val="000079CB"/>
    <w:rsid w:val="000122C8"/>
    <w:rsid w:val="000138AF"/>
    <w:rsid w:val="00014DE6"/>
    <w:rsid w:val="000157E6"/>
    <w:rsid w:val="00016EFF"/>
    <w:rsid w:val="0002407B"/>
    <w:rsid w:val="0002542F"/>
    <w:rsid w:val="000331A7"/>
    <w:rsid w:val="00033AB1"/>
    <w:rsid w:val="00034C6B"/>
    <w:rsid w:val="000371D2"/>
    <w:rsid w:val="00040E0F"/>
    <w:rsid w:val="00042DF3"/>
    <w:rsid w:val="00047028"/>
    <w:rsid w:val="000474F2"/>
    <w:rsid w:val="00050A28"/>
    <w:rsid w:val="000659A3"/>
    <w:rsid w:val="00065D58"/>
    <w:rsid w:val="00072378"/>
    <w:rsid w:val="000752A8"/>
    <w:rsid w:val="0007760F"/>
    <w:rsid w:val="000776C0"/>
    <w:rsid w:val="0008485D"/>
    <w:rsid w:val="000933A8"/>
    <w:rsid w:val="00095366"/>
    <w:rsid w:val="000A4CA0"/>
    <w:rsid w:val="000A6DC6"/>
    <w:rsid w:val="000A7EC6"/>
    <w:rsid w:val="000B4EA7"/>
    <w:rsid w:val="000C0036"/>
    <w:rsid w:val="000C0220"/>
    <w:rsid w:val="000C1158"/>
    <w:rsid w:val="000C2981"/>
    <w:rsid w:val="000C39B3"/>
    <w:rsid w:val="000C41E7"/>
    <w:rsid w:val="000D3D6B"/>
    <w:rsid w:val="000D402F"/>
    <w:rsid w:val="000D4815"/>
    <w:rsid w:val="000D4A91"/>
    <w:rsid w:val="000E405A"/>
    <w:rsid w:val="000F0122"/>
    <w:rsid w:val="00110FF9"/>
    <w:rsid w:val="001130D1"/>
    <w:rsid w:val="00114A64"/>
    <w:rsid w:val="001174EC"/>
    <w:rsid w:val="00121308"/>
    <w:rsid w:val="001241F5"/>
    <w:rsid w:val="00127BC6"/>
    <w:rsid w:val="0013162E"/>
    <w:rsid w:val="0013500A"/>
    <w:rsid w:val="0014062E"/>
    <w:rsid w:val="00151F6D"/>
    <w:rsid w:val="00152334"/>
    <w:rsid w:val="0015705F"/>
    <w:rsid w:val="0016078E"/>
    <w:rsid w:val="00160A9E"/>
    <w:rsid w:val="00161B02"/>
    <w:rsid w:val="00173501"/>
    <w:rsid w:val="00173B04"/>
    <w:rsid w:val="00176F81"/>
    <w:rsid w:val="00182D40"/>
    <w:rsid w:val="00183595"/>
    <w:rsid w:val="00187FFC"/>
    <w:rsid w:val="00192FE6"/>
    <w:rsid w:val="00193071"/>
    <w:rsid w:val="001A4A4F"/>
    <w:rsid w:val="001B492B"/>
    <w:rsid w:val="001B5607"/>
    <w:rsid w:val="001C135E"/>
    <w:rsid w:val="001C4A81"/>
    <w:rsid w:val="001C4C6E"/>
    <w:rsid w:val="001C553D"/>
    <w:rsid w:val="001C628F"/>
    <w:rsid w:val="001D06CA"/>
    <w:rsid w:val="001D46CC"/>
    <w:rsid w:val="001D642F"/>
    <w:rsid w:val="001D782E"/>
    <w:rsid w:val="001D7D45"/>
    <w:rsid w:val="001F085D"/>
    <w:rsid w:val="001F1C8C"/>
    <w:rsid w:val="001F51E7"/>
    <w:rsid w:val="001F734B"/>
    <w:rsid w:val="00203373"/>
    <w:rsid w:val="0020362A"/>
    <w:rsid w:val="00205B1B"/>
    <w:rsid w:val="002114E1"/>
    <w:rsid w:val="00214E3A"/>
    <w:rsid w:val="00217373"/>
    <w:rsid w:val="0022032E"/>
    <w:rsid w:val="00223DF5"/>
    <w:rsid w:val="00230D8F"/>
    <w:rsid w:val="00254F2C"/>
    <w:rsid w:val="002552E8"/>
    <w:rsid w:val="00271DFC"/>
    <w:rsid w:val="00273E89"/>
    <w:rsid w:val="002756D3"/>
    <w:rsid w:val="00280555"/>
    <w:rsid w:val="0028421E"/>
    <w:rsid w:val="00285063"/>
    <w:rsid w:val="00286519"/>
    <w:rsid w:val="00290C1C"/>
    <w:rsid w:val="00292C08"/>
    <w:rsid w:val="002A1088"/>
    <w:rsid w:val="002A3049"/>
    <w:rsid w:val="002A6C40"/>
    <w:rsid w:val="002B02AC"/>
    <w:rsid w:val="002B78D2"/>
    <w:rsid w:val="002C5400"/>
    <w:rsid w:val="002C58B4"/>
    <w:rsid w:val="002D1566"/>
    <w:rsid w:val="002D6339"/>
    <w:rsid w:val="002D72F8"/>
    <w:rsid w:val="002E30C2"/>
    <w:rsid w:val="002E4AB0"/>
    <w:rsid w:val="002E727A"/>
    <w:rsid w:val="002F0726"/>
    <w:rsid w:val="002F2C92"/>
    <w:rsid w:val="002F61A0"/>
    <w:rsid w:val="00303152"/>
    <w:rsid w:val="003044DF"/>
    <w:rsid w:val="0030455A"/>
    <w:rsid w:val="0030634E"/>
    <w:rsid w:val="00306F19"/>
    <w:rsid w:val="00307E94"/>
    <w:rsid w:val="00311EAA"/>
    <w:rsid w:val="00320EE0"/>
    <w:rsid w:val="00320FB8"/>
    <w:rsid w:val="00321070"/>
    <w:rsid w:val="00327BDB"/>
    <w:rsid w:val="003300BD"/>
    <w:rsid w:val="00333BF8"/>
    <w:rsid w:val="0034112A"/>
    <w:rsid w:val="00342F58"/>
    <w:rsid w:val="00345C2E"/>
    <w:rsid w:val="00355484"/>
    <w:rsid w:val="00363244"/>
    <w:rsid w:val="003708BE"/>
    <w:rsid w:val="0037612A"/>
    <w:rsid w:val="003768E8"/>
    <w:rsid w:val="00380A5D"/>
    <w:rsid w:val="003828B5"/>
    <w:rsid w:val="00383F41"/>
    <w:rsid w:val="00387BF8"/>
    <w:rsid w:val="00392C9D"/>
    <w:rsid w:val="00396BD6"/>
    <w:rsid w:val="00397F79"/>
    <w:rsid w:val="003A0AF8"/>
    <w:rsid w:val="003A1041"/>
    <w:rsid w:val="003B0AF0"/>
    <w:rsid w:val="003B1636"/>
    <w:rsid w:val="003B1648"/>
    <w:rsid w:val="003B1F19"/>
    <w:rsid w:val="003B2C62"/>
    <w:rsid w:val="003B3FBC"/>
    <w:rsid w:val="003B59D5"/>
    <w:rsid w:val="003B6A32"/>
    <w:rsid w:val="003C04D8"/>
    <w:rsid w:val="003C2D1C"/>
    <w:rsid w:val="003C5D3B"/>
    <w:rsid w:val="003C5FC0"/>
    <w:rsid w:val="003D1E17"/>
    <w:rsid w:val="003D306E"/>
    <w:rsid w:val="003D5D5A"/>
    <w:rsid w:val="003D744C"/>
    <w:rsid w:val="003E0666"/>
    <w:rsid w:val="003E1114"/>
    <w:rsid w:val="003E37F4"/>
    <w:rsid w:val="003E5303"/>
    <w:rsid w:val="003E7D72"/>
    <w:rsid w:val="003F4D87"/>
    <w:rsid w:val="003F51BE"/>
    <w:rsid w:val="003F5926"/>
    <w:rsid w:val="0040043B"/>
    <w:rsid w:val="00403B03"/>
    <w:rsid w:val="0040496D"/>
    <w:rsid w:val="00405393"/>
    <w:rsid w:val="004119EE"/>
    <w:rsid w:val="00415651"/>
    <w:rsid w:val="00423294"/>
    <w:rsid w:val="004343D2"/>
    <w:rsid w:val="00442087"/>
    <w:rsid w:val="00445277"/>
    <w:rsid w:val="004513E9"/>
    <w:rsid w:val="004559DB"/>
    <w:rsid w:val="004626D2"/>
    <w:rsid w:val="004741B9"/>
    <w:rsid w:val="0047517A"/>
    <w:rsid w:val="00484B92"/>
    <w:rsid w:val="00486970"/>
    <w:rsid w:val="00486E65"/>
    <w:rsid w:val="00495E60"/>
    <w:rsid w:val="00497590"/>
    <w:rsid w:val="004A0368"/>
    <w:rsid w:val="004A1A78"/>
    <w:rsid w:val="004A21D2"/>
    <w:rsid w:val="004A4047"/>
    <w:rsid w:val="004A7F8F"/>
    <w:rsid w:val="004B6959"/>
    <w:rsid w:val="004B7E55"/>
    <w:rsid w:val="004C3071"/>
    <w:rsid w:val="004C5FD8"/>
    <w:rsid w:val="004C6568"/>
    <w:rsid w:val="004D125C"/>
    <w:rsid w:val="004D194C"/>
    <w:rsid w:val="004D2679"/>
    <w:rsid w:val="004D4F68"/>
    <w:rsid w:val="004D7BD4"/>
    <w:rsid w:val="004E5551"/>
    <w:rsid w:val="004E74ED"/>
    <w:rsid w:val="004F1316"/>
    <w:rsid w:val="004F18E1"/>
    <w:rsid w:val="004F3D2E"/>
    <w:rsid w:val="004F5438"/>
    <w:rsid w:val="00500FC3"/>
    <w:rsid w:val="005060DB"/>
    <w:rsid w:val="005079DF"/>
    <w:rsid w:val="00507BBF"/>
    <w:rsid w:val="00507E5D"/>
    <w:rsid w:val="00510036"/>
    <w:rsid w:val="00513A8E"/>
    <w:rsid w:val="00516DDA"/>
    <w:rsid w:val="00517B28"/>
    <w:rsid w:val="00523596"/>
    <w:rsid w:val="00532A79"/>
    <w:rsid w:val="00532BB0"/>
    <w:rsid w:val="00534FF1"/>
    <w:rsid w:val="00535034"/>
    <w:rsid w:val="0053632E"/>
    <w:rsid w:val="00540F4E"/>
    <w:rsid w:val="005413DC"/>
    <w:rsid w:val="005463B7"/>
    <w:rsid w:val="00555D4D"/>
    <w:rsid w:val="00564123"/>
    <w:rsid w:val="0057076D"/>
    <w:rsid w:val="0058628A"/>
    <w:rsid w:val="00593175"/>
    <w:rsid w:val="00593552"/>
    <w:rsid w:val="00594117"/>
    <w:rsid w:val="005957F8"/>
    <w:rsid w:val="005A6387"/>
    <w:rsid w:val="005A6E39"/>
    <w:rsid w:val="005A6FA6"/>
    <w:rsid w:val="005B0B3E"/>
    <w:rsid w:val="005B2201"/>
    <w:rsid w:val="005B429E"/>
    <w:rsid w:val="005B7673"/>
    <w:rsid w:val="005C0EEB"/>
    <w:rsid w:val="005C5864"/>
    <w:rsid w:val="005D3D84"/>
    <w:rsid w:val="005D49B5"/>
    <w:rsid w:val="005D619E"/>
    <w:rsid w:val="005D6972"/>
    <w:rsid w:val="005E4345"/>
    <w:rsid w:val="005F242E"/>
    <w:rsid w:val="005F4809"/>
    <w:rsid w:val="00605D05"/>
    <w:rsid w:val="006079D8"/>
    <w:rsid w:val="0061002A"/>
    <w:rsid w:val="00611F20"/>
    <w:rsid w:val="00614F05"/>
    <w:rsid w:val="00617DF1"/>
    <w:rsid w:val="00620872"/>
    <w:rsid w:val="00620A37"/>
    <w:rsid w:val="00627C84"/>
    <w:rsid w:val="0063024D"/>
    <w:rsid w:val="00630843"/>
    <w:rsid w:val="006326C8"/>
    <w:rsid w:val="00632B75"/>
    <w:rsid w:val="00633373"/>
    <w:rsid w:val="00634983"/>
    <w:rsid w:val="006425D8"/>
    <w:rsid w:val="006438B1"/>
    <w:rsid w:val="00645881"/>
    <w:rsid w:val="00653A4D"/>
    <w:rsid w:val="00671C12"/>
    <w:rsid w:val="006744BC"/>
    <w:rsid w:val="00676FE3"/>
    <w:rsid w:val="006774CF"/>
    <w:rsid w:val="00681234"/>
    <w:rsid w:val="00681BE4"/>
    <w:rsid w:val="0068239C"/>
    <w:rsid w:val="00682EC1"/>
    <w:rsid w:val="006830A4"/>
    <w:rsid w:val="0068747C"/>
    <w:rsid w:val="00690A3A"/>
    <w:rsid w:val="00696211"/>
    <w:rsid w:val="00697031"/>
    <w:rsid w:val="006A00E8"/>
    <w:rsid w:val="006A08B9"/>
    <w:rsid w:val="006A6533"/>
    <w:rsid w:val="006A6E54"/>
    <w:rsid w:val="006A7591"/>
    <w:rsid w:val="006B657A"/>
    <w:rsid w:val="006C559F"/>
    <w:rsid w:val="006C7554"/>
    <w:rsid w:val="006D44D5"/>
    <w:rsid w:val="006D66DE"/>
    <w:rsid w:val="006D6E22"/>
    <w:rsid w:val="006E0E55"/>
    <w:rsid w:val="006E0F86"/>
    <w:rsid w:val="006E27EC"/>
    <w:rsid w:val="006F72DE"/>
    <w:rsid w:val="00702864"/>
    <w:rsid w:val="007075FF"/>
    <w:rsid w:val="00710EA6"/>
    <w:rsid w:val="0071152C"/>
    <w:rsid w:val="00715C95"/>
    <w:rsid w:val="00716A4D"/>
    <w:rsid w:val="00717F02"/>
    <w:rsid w:val="007209EA"/>
    <w:rsid w:val="00720CE3"/>
    <w:rsid w:val="00720EC8"/>
    <w:rsid w:val="0072135E"/>
    <w:rsid w:val="00721603"/>
    <w:rsid w:val="007231C1"/>
    <w:rsid w:val="0072334D"/>
    <w:rsid w:val="00723E52"/>
    <w:rsid w:val="0072782C"/>
    <w:rsid w:val="0073545A"/>
    <w:rsid w:val="00740DCB"/>
    <w:rsid w:val="00742290"/>
    <w:rsid w:val="00743DC1"/>
    <w:rsid w:val="00752DA5"/>
    <w:rsid w:val="00757D3E"/>
    <w:rsid w:val="00763621"/>
    <w:rsid w:val="00766E74"/>
    <w:rsid w:val="00767858"/>
    <w:rsid w:val="00772A92"/>
    <w:rsid w:val="007744DB"/>
    <w:rsid w:val="00776AAF"/>
    <w:rsid w:val="00777005"/>
    <w:rsid w:val="00777F1E"/>
    <w:rsid w:val="0078255B"/>
    <w:rsid w:val="007831AF"/>
    <w:rsid w:val="00785565"/>
    <w:rsid w:val="007970D6"/>
    <w:rsid w:val="007A3268"/>
    <w:rsid w:val="007A3339"/>
    <w:rsid w:val="007B2527"/>
    <w:rsid w:val="007B30FB"/>
    <w:rsid w:val="007B562F"/>
    <w:rsid w:val="007B608A"/>
    <w:rsid w:val="007B6852"/>
    <w:rsid w:val="007C2120"/>
    <w:rsid w:val="007C47BB"/>
    <w:rsid w:val="007C550B"/>
    <w:rsid w:val="007D0BA7"/>
    <w:rsid w:val="007D1F01"/>
    <w:rsid w:val="007D2E4F"/>
    <w:rsid w:val="007D36A7"/>
    <w:rsid w:val="007D3D8E"/>
    <w:rsid w:val="007D6060"/>
    <w:rsid w:val="007D6676"/>
    <w:rsid w:val="007E09E6"/>
    <w:rsid w:val="007E2766"/>
    <w:rsid w:val="007E60B8"/>
    <w:rsid w:val="007F239C"/>
    <w:rsid w:val="007F486B"/>
    <w:rsid w:val="00801123"/>
    <w:rsid w:val="00807899"/>
    <w:rsid w:val="00811416"/>
    <w:rsid w:val="00815080"/>
    <w:rsid w:val="00815741"/>
    <w:rsid w:val="00817DE7"/>
    <w:rsid w:val="00822288"/>
    <w:rsid w:val="00825486"/>
    <w:rsid w:val="00827F38"/>
    <w:rsid w:val="008371B5"/>
    <w:rsid w:val="00840569"/>
    <w:rsid w:val="008424BD"/>
    <w:rsid w:val="008470E4"/>
    <w:rsid w:val="0085073E"/>
    <w:rsid w:val="008572CB"/>
    <w:rsid w:val="00882E88"/>
    <w:rsid w:val="008862DB"/>
    <w:rsid w:val="00887172"/>
    <w:rsid w:val="00892684"/>
    <w:rsid w:val="0089297F"/>
    <w:rsid w:val="008962C1"/>
    <w:rsid w:val="008A2AE0"/>
    <w:rsid w:val="008A40D1"/>
    <w:rsid w:val="008A5D75"/>
    <w:rsid w:val="008B0FA9"/>
    <w:rsid w:val="008B291A"/>
    <w:rsid w:val="008B6DC2"/>
    <w:rsid w:val="008C0D79"/>
    <w:rsid w:val="008C2F59"/>
    <w:rsid w:val="008C5F07"/>
    <w:rsid w:val="008D04EA"/>
    <w:rsid w:val="008D07DB"/>
    <w:rsid w:val="008D2FD3"/>
    <w:rsid w:val="008D4654"/>
    <w:rsid w:val="008D49EF"/>
    <w:rsid w:val="008D5470"/>
    <w:rsid w:val="008D6935"/>
    <w:rsid w:val="008E03C8"/>
    <w:rsid w:val="008E15EF"/>
    <w:rsid w:val="008E544E"/>
    <w:rsid w:val="008F0786"/>
    <w:rsid w:val="008F56C5"/>
    <w:rsid w:val="008F5A2C"/>
    <w:rsid w:val="008F7E41"/>
    <w:rsid w:val="009004EB"/>
    <w:rsid w:val="0090170A"/>
    <w:rsid w:val="00902B84"/>
    <w:rsid w:val="009060B1"/>
    <w:rsid w:val="0091508A"/>
    <w:rsid w:val="00915461"/>
    <w:rsid w:val="00917F44"/>
    <w:rsid w:val="00920CE6"/>
    <w:rsid w:val="0093017E"/>
    <w:rsid w:val="00941616"/>
    <w:rsid w:val="009429E7"/>
    <w:rsid w:val="00945D07"/>
    <w:rsid w:val="00952033"/>
    <w:rsid w:val="0095570C"/>
    <w:rsid w:val="0096221B"/>
    <w:rsid w:val="009635BE"/>
    <w:rsid w:val="00965596"/>
    <w:rsid w:val="00966DA2"/>
    <w:rsid w:val="00966F44"/>
    <w:rsid w:val="00967D64"/>
    <w:rsid w:val="00970DC6"/>
    <w:rsid w:val="00972B60"/>
    <w:rsid w:val="00976735"/>
    <w:rsid w:val="00982871"/>
    <w:rsid w:val="00984E1E"/>
    <w:rsid w:val="0098554E"/>
    <w:rsid w:val="00993148"/>
    <w:rsid w:val="00994467"/>
    <w:rsid w:val="009A174B"/>
    <w:rsid w:val="009A5B94"/>
    <w:rsid w:val="009A7743"/>
    <w:rsid w:val="009C200E"/>
    <w:rsid w:val="009C291F"/>
    <w:rsid w:val="009C5B10"/>
    <w:rsid w:val="009D01BA"/>
    <w:rsid w:val="009D5D2B"/>
    <w:rsid w:val="009D61D9"/>
    <w:rsid w:val="009D7574"/>
    <w:rsid w:val="009E0398"/>
    <w:rsid w:val="009E08D1"/>
    <w:rsid w:val="009E47F3"/>
    <w:rsid w:val="009E49A8"/>
    <w:rsid w:val="009E54D2"/>
    <w:rsid w:val="009F293B"/>
    <w:rsid w:val="00A01044"/>
    <w:rsid w:val="00A01A46"/>
    <w:rsid w:val="00A03C92"/>
    <w:rsid w:val="00A212DE"/>
    <w:rsid w:val="00A22F9E"/>
    <w:rsid w:val="00A2436B"/>
    <w:rsid w:val="00A263E5"/>
    <w:rsid w:val="00A26CBB"/>
    <w:rsid w:val="00A32601"/>
    <w:rsid w:val="00A37666"/>
    <w:rsid w:val="00A440F2"/>
    <w:rsid w:val="00A51D39"/>
    <w:rsid w:val="00A527D4"/>
    <w:rsid w:val="00A52A4C"/>
    <w:rsid w:val="00A5360E"/>
    <w:rsid w:val="00A542B6"/>
    <w:rsid w:val="00A61D38"/>
    <w:rsid w:val="00A63F4D"/>
    <w:rsid w:val="00A70064"/>
    <w:rsid w:val="00A70ACA"/>
    <w:rsid w:val="00A771DB"/>
    <w:rsid w:val="00A80FAE"/>
    <w:rsid w:val="00A81DAC"/>
    <w:rsid w:val="00A82536"/>
    <w:rsid w:val="00A83AE1"/>
    <w:rsid w:val="00A84EFB"/>
    <w:rsid w:val="00A85CE8"/>
    <w:rsid w:val="00A871A5"/>
    <w:rsid w:val="00A93268"/>
    <w:rsid w:val="00A97BA6"/>
    <w:rsid w:val="00AA0538"/>
    <w:rsid w:val="00AA0589"/>
    <w:rsid w:val="00AA232E"/>
    <w:rsid w:val="00AA40AC"/>
    <w:rsid w:val="00AB0427"/>
    <w:rsid w:val="00AB1D9D"/>
    <w:rsid w:val="00AC2449"/>
    <w:rsid w:val="00AC4760"/>
    <w:rsid w:val="00AC50CA"/>
    <w:rsid w:val="00AD1161"/>
    <w:rsid w:val="00AD1317"/>
    <w:rsid w:val="00AD2658"/>
    <w:rsid w:val="00AE1400"/>
    <w:rsid w:val="00AF27EC"/>
    <w:rsid w:val="00B05F53"/>
    <w:rsid w:val="00B1742D"/>
    <w:rsid w:val="00B260AA"/>
    <w:rsid w:val="00B304DB"/>
    <w:rsid w:val="00B33749"/>
    <w:rsid w:val="00B404F8"/>
    <w:rsid w:val="00B40ADA"/>
    <w:rsid w:val="00B53029"/>
    <w:rsid w:val="00B53311"/>
    <w:rsid w:val="00B55570"/>
    <w:rsid w:val="00B56BAF"/>
    <w:rsid w:val="00B5785F"/>
    <w:rsid w:val="00B60CEB"/>
    <w:rsid w:val="00B62491"/>
    <w:rsid w:val="00B64956"/>
    <w:rsid w:val="00B67572"/>
    <w:rsid w:val="00B70FAE"/>
    <w:rsid w:val="00B81ECE"/>
    <w:rsid w:val="00B874E4"/>
    <w:rsid w:val="00B9672C"/>
    <w:rsid w:val="00BA5819"/>
    <w:rsid w:val="00BA766A"/>
    <w:rsid w:val="00BB0F89"/>
    <w:rsid w:val="00BB3CA8"/>
    <w:rsid w:val="00BC1875"/>
    <w:rsid w:val="00BC204A"/>
    <w:rsid w:val="00BD0A81"/>
    <w:rsid w:val="00BD741E"/>
    <w:rsid w:val="00BE72AB"/>
    <w:rsid w:val="00BF5688"/>
    <w:rsid w:val="00BF649C"/>
    <w:rsid w:val="00BF7378"/>
    <w:rsid w:val="00C01A86"/>
    <w:rsid w:val="00C06331"/>
    <w:rsid w:val="00C0720B"/>
    <w:rsid w:val="00C11361"/>
    <w:rsid w:val="00C13291"/>
    <w:rsid w:val="00C13530"/>
    <w:rsid w:val="00C136E0"/>
    <w:rsid w:val="00C14992"/>
    <w:rsid w:val="00C17639"/>
    <w:rsid w:val="00C20903"/>
    <w:rsid w:val="00C20B35"/>
    <w:rsid w:val="00C20C2E"/>
    <w:rsid w:val="00C22992"/>
    <w:rsid w:val="00C2322D"/>
    <w:rsid w:val="00C23CBF"/>
    <w:rsid w:val="00C246AE"/>
    <w:rsid w:val="00C3763C"/>
    <w:rsid w:val="00C519FC"/>
    <w:rsid w:val="00C557C1"/>
    <w:rsid w:val="00C57595"/>
    <w:rsid w:val="00C60082"/>
    <w:rsid w:val="00C623C1"/>
    <w:rsid w:val="00C73B8B"/>
    <w:rsid w:val="00C73E41"/>
    <w:rsid w:val="00C77389"/>
    <w:rsid w:val="00C82152"/>
    <w:rsid w:val="00C82272"/>
    <w:rsid w:val="00C85F72"/>
    <w:rsid w:val="00C90C2C"/>
    <w:rsid w:val="00C91FB8"/>
    <w:rsid w:val="00C97A26"/>
    <w:rsid w:val="00CA26B8"/>
    <w:rsid w:val="00CB25C0"/>
    <w:rsid w:val="00CB3184"/>
    <w:rsid w:val="00CB4CB7"/>
    <w:rsid w:val="00CC06BB"/>
    <w:rsid w:val="00CC54AD"/>
    <w:rsid w:val="00CD6184"/>
    <w:rsid w:val="00CE0F55"/>
    <w:rsid w:val="00CF2F12"/>
    <w:rsid w:val="00CF4AB6"/>
    <w:rsid w:val="00D002BF"/>
    <w:rsid w:val="00D0064D"/>
    <w:rsid w:val="00D0749D"/>
    <w:rsid w:val="00D12F92"/>
    <w:rsid w:val="00D3105C"/>
    <w:rsid w:val="00D43F7B"/>
    <w:rsid w:val="00D4560B"/>
    <w:rsid w:val="00D465B3"/>
    <w:rsid w:val="00D467DF"/>
    <w:rsid w:val="00D474A9"/>
    <w:rsid w:val="00D530F3"/>
    <w:rsid w:val="00D5360D"/>
    <w:rsid w:val="00D536EB"/>
    <w:rsid w:val="00D57C6E"/>
    <w:rsid w:val="00D64279"/>
    <w:rsid w:val="00D653D3"/>
    <w:rsid w:val="00D676B2"/>
    <w:rsid w:val="00D6796B"/>
    <w:rsid w:val="00D71380"/>
    <w:rsid w:val="00D759AE"/>
    <w:rsid w:val="00D87EEF"/>
    <w:rsid w:val="00D91105"/>
    <w:rsid w:val="00D91D1B"/>
    <w:rsid w:val="00D9240B"/>
    <w:rsid w:val="00D938D5"/>
    <w:rsid w:val="00DA1D69"/>
    <w:rsid w:val="00DA3E91"/>
    <w:rsid w:val="00DA6459"/>
    <w:rsid w:val="00DA6FFB"/>
    <w:rsid w:val="00DA7291"/>
    <w:rsid w:val="00DB2EA1"/>
    <w:rsid w:val="00DB3541"/>
    <w:rsid w:val="00DB4C8A"/>
    <w:rsid w:val="00DB6376"/>
    <w:rsid w:val="00DB7FA0"/>
    <w:rsid w:val="00DD1742"/>
    <w:rsid w:val="00DD3976"/>
    <w:rsid w:val="00DD43E4"/>
    <w:rsid w:val="00DD5143"/>
    <w:rsid w:val="00DE365D"/>
    <w:rsid w:val="00DE4092"/>
    <w:rsid w:val="00DE4528"/>
    <w:rsid w:val="00DE7E39"/>
    <w:rsid w:val="00DF1841"/>
    <w:rsid w:val="00DF4128"/>
    <w:rsid w:val="00DF6B4D"/>
    <w:rsid w:val="00E01AD8"/>
    <w:rsid w:val="00E073A4"/>
    <w:rsid w:val="00E10ECA"/>
    <w:rsid w:val="00E24240"/>
    <w:rsid w:val="00E246C0"/>
    <w:rsid w:val="00E26F0B"/>
    <w:rsid w:val="00E30BDC"/>
    <w:rsid w:val="00E329D7"/>
    <w:rsid w:val="00E34CF8"/>
    <w:rsid w:val="00E35078"/>
    <w:rsid w:val="00E37713"/>
    <w:rsid w:val="00E42F40"/>
    <w:rsid w:val="00E667E2"/>
    <w:rsid w:val="00E67010"/>
    <w:rsid w:val="00E732C6"/>
    <w:rsid w:val="00E74740"/>
    <w:rsid w:val="00E80788"/>
    <w:rsid w:val="00E80B40"/>
    <w:rsid w:val="00E80F94"/>
    <w:rsid w:val="00E948E4"/>
    <w:rsid w:val="00E96526"/>
    <w:rsid w:val="00E96A36"/>
    <w:rsid w:val="00EA159D"/>
    <w:rsid w:val="00EB243C"/>
    <w:rsid w:val="00EB428A"/>
    <w:rsid w:val="00EC0BA5"/>
    <w:rsid w:val="00EC4BF8"/>
    <w:rsid w:val="00ED0EF9"/>
    <w:rsid w:val="00EE01DD"/>
    <w:rsid w:val="00EE1540"/>
    <w:rsid w:val="00EE3695"/>
    <w:rsid w:val="00EE624E"/>
    <w:rsid w:val="00EE705B"/>
    <w:rsid w:val="00EF0DEC"/>
    <w:rsid w:val="00EF63E3"/>
    <w:rsid w:val="00F042D8"/>
    <w:rsid w:val="00F0796D"/>
    <w:rsid w:val="00F11995"/>
    <w:rsid w:val="00F12203"/>
    <w:rsid w:val="00F1543F"/>
    <w:rsid w:val="00F16EAA"/>
    <w:rsid w:val="00F21851"/>
    <w:rsid w:val="00F21A2F"/>
    <w:rsid w:val="00F2295F"/>
    <w:rsid w:val="00F23A22"/>
    <w:rsid w:val="00F249DF"/>
    <w:rsid w:val="00F30198"/>
    <w:rsid w:val="00F30328"/>
    <w:rsid w:val="00F33CDF"/>
    <w:rsid w:val="00F34226"/>
    <w:rsid w:val="00F41A60"/>
    <w:rsid w:val="00F4246B"/>
    <w:rsid w:val="00F4415E"/>
    <w:rsid w:val="00F45C4D"/>
    <w:rsid w:val="00F52982"/>
    <w:rsid w:val="00F571B2"/>
    <w:rsid w:val="00F579BB"/>
    <w:rsid w:val="00F604EB"/>
    <w:rsid w:val="00F72071"/>
    <w:rsid w:val="00F7436E"/>
    <w:rsid w:val="00F752E4"/>
    <w:rsid w:val="00F75CCC"/>
    <w:rsid w:val="00F76197"/>
    <w:rsid w:val="00F80439"/>
    <w:rsid w:val="00F86281"/>
    <w:rsid w:val="00F91788"/>
    <w:rsid w:val="00F958EC"/>
    <w:rsid w:val="00F96474"/>
    <w:rsid w:val="00FA0491"/>
    <w:rsid w:val="00FA43AA"/>
    <w:rsid w:val="00FA48B6"/>
    <w:rsid w:val="00FA4ABC"/>
    <w:rsid w:val="00FA61FD"/>
    <w:rsid w:val="00FA714F"/>
    <w:rsid w:val="00FB0E8C"/>
    <w:rsid w:val="00FB3B4E"/>
    <w:rsid w:val="00FB3F91"/>
    <w:rsid w:val="00FC5FAB"/>
    <w:rsid w:val="00FD6365"/>
    <w:rsid w:val="00FD7356"/>
    <w:rsid w:val="00FD7F49"/>
    <w:rsid w:val="00FE09DC"/>
    <w:rsid w:val="00FE29BD"/>
    <w:rsid w:val="00FE35DE"/>
    <w:rsid w:val="00FE48E5"/>
    <w:rsid w:val="00FE7592"/>
    <w:rsid w:val="00FF0C4F"/>
    <w:rsid w:val="00FF3725"/>
    <w:rsid w:val="00FF73CF"/>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60F520"/>
  <w15:chartTrackingRefBased/>
  <w15:docId w15:val="{24C7F9D8-26B4-49A1-89E8-50930A65A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A64"/>
    <w:pPr>
      <w:spacing w:after="200" w:line="276" w:lineRule="auto"/>
    </w:pPr>
    <w:rPr>
      <w:rFonts w:eastAsiaTheme="minorEastAsia"/>
      <w:lang w:eastAsia="zh-CN"/>
    </w:rPr>
  </w:style>
  <w:style w:type="paragraph" w:styleId="Heading1">
    <w:name w:val="heading 1"/>
    <w:basedOn w:val="Normal"/>
    <w:link w:val="Heading1Char"/>
    <w:uiPriority w:val="9"/>
    <w:qFormat/>
    <w:rsid w:val="009E08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64"/>
  </w:style>
  <w:style w:type="paragraph" w:styleId="Footer">
    <w:name w:val="footer"/>
    <w:basedOn w:val="Normal"/>
    <w:link w:val="FooterChar"/>
    <w:uiPriority w:val="99"/>
    <w:unhideWhenUsed/>
    <w:rsid w:val="0011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64"/>
  </w:style>
  <w:style w:type="paragraph" w:styleId="CommentText">
    <w:name w:val="annotation text"/>
    <w:basedOn w:val="Normal"/>
    <w:link w:val="CommentTextChar"/>
    <w:uiPriority w:val="99"/>
    <w:semiHidden/>
    <w:unhideWhenUsed/>
    <w:qFormat/>
    <w:rsid w:val="00114A64"/>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114A64"/>
    <w:rPr>
      <w:rFonts w:eastAsiaTheme="minorEastAsia"/>
      <w:sz w:val="20"/>
      <w:szCs w:val="20"/>
      <w:lang w:eastAsia="zh-CN"/>
    </w:rPr>
  </w:style>
  <w:style w:type="character" w:styleId="CommentReference">
    <w:name w:val="annotation reference"/>
    <w:basedOn w:val="DefaultParagraphFont"/>
    <w:uiPriority w:val="99"/>
    <w:semiHidden/>
    <w:unhideWhenUsed/>
    <w:rsid w:val="00114A64"/>
    <w:rPr>
      <w:sz w:val="16"/>
      <w:szCs w:val="16"/>
    </w:rPr>
  </w:style>
  <w:style w:type="paragraph" w:styleId="ListParagraph">
    <w:name w:val="List Paragraph"/>
    <w:basedOn w:val="Normal"/>
    <w:uiPriority w:val="34"/>
    <w:qFormat/>
    <w:rsid w:val="00114A64"/>
    <w:pPr>
      <w:ind w:left="720"/>
      <w:contextualSpacing/>
    </w:pPr>
  </w:style>
  <w:style w:type="paragraph" w:styleId="CommentSubject">
    <w:name w:val="annotation subject"/>
    <w:basedOn w:val="CommentText"/>
    <w:next w:val="CommentText"/>
    <w:link w:val="CommentSubjectChar"/>
    <w:uiPriority w:val="99"/>
    <w:semiHidden/>
    <w:unhideWhenUsed/>
    <w:rsid w:val="00D938D5"/>
    <w:rPr>
      <w:b/>
      <w:bCs/>
    </w:rPr>
  </w:style>
  <w:style w:type="character" w:customStyle="1" w:styleId="CommentSubjectChar">
    <w:name w:val="Comment Subject Char"/>
    <w:basedOn w:val="CommentTextChar"/>
    <w:link w:val="CommentSubject"/>
    <w:uiPriority w:val="99"/>
    <w:semiHidden/>
    <w:rsid w:val="00D938D5"/>
    <w:rPr>
      <w:rFonts w:eastAsiaTheme="minorEastAsia"/>
      <w:b/>
      <w:bCs/>
      <w:sz w:val="20"/>
      <w:szCs w:val="20"/>
      <w:lang w:eastAsia="zh-CN"/>
    </w:rPr>
  </w:style>
  <w:style w:type="paragraph" w:styleId="BalloonText">
    <w:name w:val="Balloon Text"/>
    <w:basedOn w:val="Normal"/>
    <w:link w:val="BalloonTextChar"/>
    <w:uiPriority w:val="99"/>
    <w:semiHidden/>
    <w:unhideWhenUsed/>
    <w:rsid w:val="00C82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72"/>
    <w:rPr>
      <w:rFonts w:ascii="Segoe UI" w:eastAsiaTheme="minorEastAsia" w:hAnsi="Segoe UI" w:cs="Segoe UI"/>
      <w:sz w:val="18"/>
      <w:szCs w:val="18"/>
      <w:lang w:eastAsia="zh-CN"/>
    </w:rPr>
  </w:style>
  <w:style w:type="character" w:customStyle="1" w:styleId="Heading1Char">
    <w:name w:val="Heading 1 Char"/>
    <w:basedOn w:val="DefaultParagraphFont"/>
    <w:link w:val="Heading1"/>
    <w:uiPriority w:val="9"/>
    <w:rsid w:val="009E08D1"/>
    <w:rPr>
      <w:rFonts w:ascii="Times New Roman" w:eastAsia="Times New Roman" w:hAnsi="Times New Roman" w:cs="Times New Roman"/>
      <w:b/>
      <w:bCs/>
      <w:kern w:val="36"/>
      <w:sz w:val="48"/>
      <w:szCs w:val="48"/>
    </w:rPr>
  </w:style>
  <w:style w:type="paragraph" w:customStyle="1" w:styleId="articledesc">
    <w:name w:val="article__desc"/>
    <w:basedOn w:val="Normal"/>
    <w:rsid w:val="009E08D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40496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8C0D79"/>
    <w:pPr>
      <w:spacing w:after="0" w:line="240" w:lineRule="auto"/>
    </w:pPr>
    <w:rPr>
      <w:rFonts w:eastAsiaTheme="minorEastAsia"/>
      <w:lang w:eastAsia="zh-CN"/>
    </w:rPr>
  </w:style>
  <w:style w:type="character" w:styleId="Hyperlink">
    <w:name w:val="Hyperlink"/>
    <w:basedOn w:val="DefaultParagraphFont"/>
    <w:uiPriority w:val="99"/>
    <w:unhideWhenUsed/>
    <w:rsid w:val="00D57C6E"/>
    <w:rPr>
      <w:color w:val="0563C1" w:themeColor="hyperlink"/>
      <w:u w:val="single"/>
    </w:rPr>
  </w:style>
  <w:style w:type="paragraph" w:styleId="FootnoteText">
    <w:name w:val="footnote text"/>
    <w:basedOn w:val="Normal"/>
    <w:link w:val="FootnoteTextChar"/>
    <w:uiPriority w:val="99"/>
    <w:semiHidden/>
    <w:unhideWhenUsed/>
    <w:rsid w:val="006A65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533"/>
    <w:rPr>
      <w:rFonts w:eastAsiaTheme="minorEastAsia"/>
      <w:sz w:val="20"/>
      <w:szCs w:val="20"/>
      <w:lang w:eastAsia="zh-CN"/>
    </w:rPr>
  </w:style>
  <w:style w:type="character" w:styleId="FootnoteReference">
    <w:name w:val="footnote reference"/>
    <w:basedOn w:val="DefaultParagraphFont"/>
    <w:uiPriority w:val="99"/>
    <w:semiHidden/>
    <w:unhideWhenUsed/>
    <w:rsid w:val="006A65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0114">
      <w:bodyDiv w:val="1"/>
      <w:marLeft w:val="0"/>
      <w:marRight w:val="0"/>
      <w:marTop w:val="0"/>
      <w:marBottom w:val="0"/>
      <w:divBdr>
        <w:top w:val="none" w:sz="0" w:space="0" w:color="auto"/>
        <w:left w:val="none" w:sz="0" w:space="0" w:color="auto"/>
        <w:bottom w:val="none" w:sz="0" w:space="0" w:color="auto"/>
        <w:right w:val="none" w:sz="0" w:space="0" w:color="auto"/>
      </w:divBdr>
    </w:div>
    <w:div w:id="192304795">
      <w:bodyDiv w:val="1"/>
      <w:marLeft w:val="0"/>
      <w:marRight w:val="0"/>
      <w:marTop w:val="0"/>
      <w:marBottom w:val="0"/>
      <w:divBdr>
        <w:top w:val="none" w:sz="0" w:space="0" w:color="auto"/>
        <w:left w:val="none" w:sz="0" w:space="0" w:color="auto"/>
        <w:bottom w:val="none" w:sz="0" w:space="0" w:color="auto"/>
        <w:right w:val="none" w:sz="0" w:space="0" w:color="auto"/>
      </w:divBdr>
    </w:div>
    <w:div w:id="348139664">
      <w:bodyDiv w:val="1"/>
      <w:marLeft w:val="0"/>
      <w:marRight w:val="0"/>
      <w:marTop w:val="0"/>
      <w:marBottom w:val="0"/>
      <w:divBdr>
        <w:top w:val="none" w:sz="0" w:space="0" w:color="auto"/>
        <w:left w:val="none" w:sz="0" w:space="0" w:color="auto"/>
        <w:bottom w:val="none" w:sz="0" w:space="0" w:color="auto"/>
        <w:right w:val="none" w:sz="0" w:space="0" w:color="auto"/>
      </w:divBdr>
    </w:div>
    <w:div w:id="398409376">
      <w:bodyDiv w:val="1"/>
      <w:marLeft w:val="0"/>
      <w:marRight w:val="0"/>
      <w:marTop w:val="0"/>
      <w:marBottom w:val="0"/>
      <w:divBdr>
        <w:top w:val="none" w:sz="0" w:space="0" w:color="auto"/>
        <w:left w:val="none" w:sz="0" w:space="0" w:color="auto"/>
        <w:bottom w:val="none" w:sz="0" w:space="0" w:color="auto"/>
        <w:right w:val="none" w:sz="0" w:space="0" w:color="auto"/>
      </w:divBdr>
    </w:div>
    <w:div w:id="460804111">
      <w:bodyDiv w:val="1"/>
      <w:marLeft w:val="0"/>
      <w:marRight w:val="0"/>
      <w:marTop w:val="0"/>
      <w:marBottom w:val="0"/>
      <w:divBdr>
        <w:top w:val="none" w:sz="0" w:space="0" w:color="auto"/>
        <w:left w:val="none" w:sz="0" w:space="0" w:color="auto"/>
        <w:bottom w:val="none" w:sz="0" w:space="0" w:color="auto"/>
        <w:right w:val="none" w:sz="0" w:space="0" w:color="auto"/>
      </w:divBdr>
    </w:div>
    <w:div w:id="495075358">
      <w:bodyDiv w:val="1"/>
      <w:marLeft w:val="0"/>
      <w:marRight w:val="0"/>
      <w:marTop w:val="0"/>
      <w:marBottom w:val="0"/>
      <w:divBdr>
        <w:top w:val="none" w:sz="0" w:space="0" w:color="auto"/>
        <w:left w:val="none" w:sz="0" w:space="0" w:color="auto"/>
        <w:bottom w:val="none" w:sz="0" w:space="0" w:color="auto"/>
        <w:right w:val="none" w:sz="0" w:space="0" w:color="auto"/>
      </w:divBdr>
    </w:div>
    <w:div w:id="503938178">
      <w:bodyDiv w:val="1"/>
      <w:marLeft w:val="0"/>
      <w:marRight w:val="0"/>
      <w:marTop w:val="0"/>
      <w:marBottom w:val="0"/>
      <w:divBdr>
        <w:top w:val="none" w:sz="0" w:space="0" w:color="auto"/>
        <w:left w:val="none" w:sz="0" w:space="0" w:color="auto"/>
        <w:bottom w:val="none" w:sz="0" w:space="0" w:color="auto"/>
        <w:right w:val="none" w:sz="0" w:space="0" w:color="auto"/>
      </w:divBdr>
    </w:div>
    <w:div w:id="932006732">
      <w:bodyDiv w:val="1"/>
      <w:marLeft w:val="0"/>
      <w:marRight w:val="0"/>
      <w:marTop w:val="0"/>
      <w:marBottom w:val="0"/>
      <w:divBdr>
        <w:top w:val="none" w:sz="0" w:space="0" w:color="auto"/>
        <w:left w:val="none" w:sz="0" w:space="0" w:color="auto"/>
        <w:bottom w:val="none" w:sz="0" w:space="0" w:color="auto"/>
        <w:right w:val="none" w:sz="0" w:space="0" w:color="auto"/>
      </w:divBdr>
    </w:div>
    <w:div w:id="1091707102">
      <w:bodyDiv w:val="1"/>
      <w:marLeft w:val="0"/>
      <w:marRight w:val="0"/>
      <w:marTop w:val="0"/>
      <w:marBottom w:val="0"/>
      <w:divBdr>
        <w:top w:val="none" w:sz="0" w:space="0" w:color="auto"/>
        <w:left w:val="none" w:sz="0" w:space="0" w:color="auto"/>
        <w:bottom w:val="none" w:sz="0" w:space="0" w:color="auto"/>
        <w:right w:val="none" w:sz="0" w:space="0" w:color="auto"/>
      </w:divBdr>
    </w:div>
    <w:div w:id="1103765793">
      <w:bodyDiv w:val="1"/>
      <w:marLeft w:val="0"/>
      <w:marRight w:val="0"/>
      <w:marTop w:val="0"/>
      <w:marBottom w:val="0"/>
      <w:divBdr>
        <w:top w:val="none" w:sz="0" w:space="0" w:color="auto"/>
        <w:left w:val="none" w:sz="0" w:space="0" w:color="auto"/>
        <w:bottom w:val="none" w:sz="0" w:space="0" w:color="auto"/>
        <w:right w:val="none" w:sz="0" w:space="0" w:color="auto"/>
      </w:divBdr>
    </w:div>
    <w:div w:id="1119295292">
      <w:bodyDiv w:val="1"/>
      <w:marLeft w:val="0"/>
      <w:marRight w:val="0"/>
      <w:marTop w:val="0"/>
      <w:marBottom w:val="0"/>
      <w:divBdr>
        <w:top w:val="none" w:sz="0" w:space="0" w:color="auto"/>
        <w:left w:val="none" w:sz="0" w:space="0" w:color="auto"/>
        <w:bottom w:val="none" w:sz="0" w:space="0" w:color="auto"/>
        <w:right w:val="none" w:sz="0" w:space="0" w:color="auto"/>
      </w:divBdr>
    </w:div>
    <w:div w:id="1188910026">
      <w:bodyDiv w:val="1"/>
      <w:marLeft w:val="0"/>
      <w:marRight w:val="0"/>
      <w:marTop w:val="0"/>
      <w:marBottom w:val="0"/>
      <w:divBdr>
        <w:top w:val="none" w:sz="0" w:space="0" w:color="auto"/>
        <w:left w:val="none" w:sz="0" w:space="0" w:color="auto"/>
        <w:bottom w:val="none" w:sz="0" w:space="0" w:color="auto"/>
        <w:right w:val="none" w:sz="0" w:space="0" w:color="auto"/>
      </w:divBdr>
    </w:div>
    <w:div w:id="1218123118">
      <w:bodyDiv w:val="1"/>
      <w:marLeft w:val="0"/>
      <w:marRight w:val="0"/>
      <w:marTop w:val="0"/>
      <w:marBottom w:val="0"/>
      <w:divBdr>
        <w:top w:val="none" w:sz="0" w:space="0" w:color="auto"/>
        <w:left w:val="none" w:sz="0" w:space="0" w:color="auto"/>
        <w:bottom w:val="none" w:sz="0" w:space="0" w:color="auto"/>
        <w:right w:val="none" w:sz="0" w:space="0" w:color="auto"/>
      </w:divBdr>
    </w:div>
    <w:div w:id="1490554267">
      <w:bodyDiv w:val="1"/>
      <w:marLeft w:val="0"/>
      <w:marRight w:val="0"/>
      <w:marTop w:val="0"/>
      <w:marBottom w:val="0"/>
      <w:divBdr>
        <w:top w:val="none" w:sz="0" w:space="0" w:color="auto"/>
        <w:left w:val="none" w:sz="0" w:space="0" w:color="auto"/>
        <w:bottom w:val="none" w:sz="0" w:space="0" w:color="auto"/>
        <w:right w:val="none" w:sz="0" w:space="0" w:color="auto"/>
      </w:divBdr>
    </w:div>
    <w:div w:id="1519545638">
      <w:bodyDiv w:val="1"/>
      <w:marLeft w:val="0"/>
      <w:marRight w:val="0"/>
      <w:marTop w:val="0"/>
      <w:marBottom w:val="0"/>
      <w:divBdr>
        <w:top w:val="none" w:sz="0" w:space="0" w:color="auto"/>
        <w:left w:val="none" w:sz="0" w:space="0" w:color="auto"/>
        <w:bottom w:val="none" w:sz="0" w:space="0" w:color="auto"/>
        <w:right w:val="none" w:sz="0" w:space="0" w:color="auto"/>
      </w:divBdr>
    </w:div>
    <w:div w:id="1561868205">
      <w:bodyDiv w:val="1"/>
      <w:marLeft w:val="0"/>
      <w:marRight w:val="0"/>
      <w:marTop w:val="0"/>
      <w:marBottom w:val="0"/>
      <w:divBdr>
        <w:top w:val="none" w:sz="0" w:space="0" w:color="auto"/>
        <w:left w:val="none" w:sz="0" w:space="0" w:color="auto"/>
        <w:bottom w:val="none" w:sz="0" w:space="0" w:color="auto"/>
        <w:right w:val="none" w:sz="0" w:space="0" w:color="auto"/>
      </w:divBdr>
    </w:div>
    <w:div w:id="1581451832">
      <w:bodyDiv w:val="1"/>
      <w:marLeft w:val="0"/>
      <w:marRight w:val="0"/>
      <w:marTop w:val="0"/>
      <w:marBottom w:val="0"/>
      <w:divBdr>
        <w:top w:val="none" w:sz="0" w:space="0" w:color="auto"/>
        <w:left w:val="none" w:sz="0" w:space="0" w:color="auto"/>
        <w:bottom w:val="none" w:sz="0" w:space="0" w:color="auto"/>
        <w:right w:val="none" w:sz="0" w:space="0" w:color="auto"/>
      </w:divBdr>
    </w:div>
    <w:div w:id="1733580938">
      <w:bodyDiv w:val="1"/>
      <w:marLeft w:val="0"/>
      <w:marRight w:val="0"/>
      <w:marTop w:val="0"/>
      <w:marBottom w:val="0"/>
      <w:divBdr>
        <w:top w:val="none" w:sz="0" w:space="0" w:color="auto"/>
        <w:left w:val="none" w:sz="0" w:space="0" w:color="auto"/>
        <w:bottom w:val="none" w:sz="0" w:space="0" w:color="auto"/>
        <w:right w:val="none" w:sz="0" w:space="0" w:color="auto"/>
      </w:divBdr>
    </w:div>
    <w:div w:id="1870530567">
      <w:bodyDiv w:val="1"/>
      <w:marLeft w:val="0"/>
      <w:marRight w:val="0"/>
      <w:marTop w:val="0"/>
      <w:marBottom w:val="0"/>
      <w:divBdr>
        <w:top w:val="none" w:sz="0" w:space="0" w:color="auto"/>
        <w:left w:val="none" w:sz="0" w:space="0" w:color="auto"/>
        <w:bottom w:val="none" w:sz="0" w:space="0" w:color="auto"/>
        <w:right w:val="none" w:sz="0" w:space="0" w:color="auto"/>
      </w:divBdr>
    </w:div>
    <w:div w:id="1887988865">
      <w:bodyDiv w:val="1"/>
      <w:marLeft w:val="0"/>
      <w:marRight w:val="0"/>
      <w:marTop w:val="0"/>
      <w:marBottom w:val="0"/>
      <w:divBdr>
        <w:top w:val="none" w:sz="0" w:space="0" w:color="auto"/>
        <w:left w:val="none" w:sz="0" w:space="0" w:color="auto"/>
        <w:bottom w:val="none" w:sz="0" w:space="0" w:color="auto"/>
        <w:right w:val="none" w:sz="0" w:space="0" w:color="auto"/>
      </w:divBdr>
    </w:div>
    <w:div w:id="1897860594">
      <w:bodyDiv w:val="1"/>
      <w:marLeft w:val="0"/>
      <w:marRight w:val="0"/>
      <w:marTop w:val="0"/>
      <w:marBottom w:val="0"/>
      <w:divBdr>
        <w:top w:val="none" w:sz="0" w:space="0" w:color="auto"/>
        <w:left w:val="none" w:sz="0" w:space="0" w:color="auto"/>
        <w:bottom w:val="none" w:sz="0" w:space="0" w:color="auto"/>
        <w:right w:val="none" w:sz="0" w:space="0" w:color="auto"/>
      </w:divBdr>
    </w:div>
    <w:div w:id="1954825239">
      <w:bodyDiv w:val="1"/>
      <w:marLeft w:val="0"/>
      <w:marRight w:val="0"/>
      <w:marTop w:val="0"/>
      <w:marBottom w:val="0"/>
      <w:divBdr>
        <w:top w:val="none" w:sz="0" w:space="0" w:color="auto"/>
        <w:left w:val="none" w:sz="0" w:space="0" w:color="auto"/>
        <w:bottom w:val="none" w:sz="0" w:space="0" w:color="auto"/>
        <w:right w:val="none" w:sz="0" w:space="0" w:color="auto"/>
      </w:divBdr>
    </w:div>
    <w:div w:id="207326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t.jona@eib.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eib.org/en/surveys/climate-survey/4th-climate-survey/hybrid-electric-petrol-cars-flying-holidays-climate.htm" TargetMode="External"/><Relationship Id="rId2" Type="http://schemas.openxmlformats.org/officeDocument/2006/relationships/customXml" Target="../customXml/item2.xml"/><Relationship Id="rId16" Type="http://schemas.openxmlformats.org/officeDocument/2006/relationships/hyperlink" Target="https://www.eib.org/attachments/survey/eib-climate-survey-2021-2022-all-countries-results-pr2.xls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b.org/en/surveys/climate-survey/4th-climate-survey/hybrid-electric-petrol-cars-flying-holidays-climate.htm" TargetMode="External"/><Relationship Id="rId5" Type="http://schemas.openxmlformats.org/officeDocument/2006/relationships/numbering" Target="numbering.xml"/><Relationship Id="rId15" Type="http://schemas.openxmlformats.org/officeDocument/2006/relationships/image" Target="media/image4.jpeg"/><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EFCB4D9918784AAE4E5BF8C3DD77C3" ma:contentTypeVersion="9" ma:contentTypeDescription="Create a new document." ma:contentTypeScope="" ma:versionID="29f645e44f4e28774b7e9712a2ad10d8">
  <xsd:schema xmlns:xsd="http://www.w3.org/2001/XMLSchema" xmlns:xs="http://www.w3.org/2001/XMLSchema" xmlns:p="http://schemas.microsoft.com/office/2006/metadata/properties" xmlns:ns2="5c4923c2-ca20-42b9-8e7c-16896df4c0a3" targetNamespace="http://schemas.microsoft.com/office/2006/metadata/properties" ma:root="true" ma:fieldsID="ed4c2ed14a064957c95dcac9484a1f96" ns2:_="">
    <xsd:import namespace="5c4923c2-ca20-42b9-8e7c-16896df4c0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923c2-ca20-42b9-8e7c-16896df4c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88654-962A-4F14-BDE7-ED2A0255DFC2}">
  <ds:schemaRefs>
    <ds:schemaRef ds:uri="http://schemas.microsoft.com/sharepoint/v3/contenttype/forms"/>
  </ds:schemaRefs>
</ds:datastoreItem>
</file>

<file path=customXml/itemProps2.xml><?xml version="1.0" encoding="utf-8"?>
<ds:datastoreItem xmlns:ds="http://schemas.openxmlformats.org/officeDocument/2006/customXml" ds:itemID="{F71A9D15-564D-46DA-95FD-FE7F897BAF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3024DC-8F69-4B06-B9B3-EA2226C5D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923c2-ca20-42b9-8e7c-16896df4c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C81C77-8B14-4026-9A2C-45928931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1379</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Kouwenhoven, Susan</dc:creator>
  <cp:keywords/>
  <dc:description/>
  <cp:lastModifiedBy>LINNA Lydia (Ext)</cp:lastModifiedBy>
  <cp:revision>5</cp:revision>
  <dcterms:created xsi:type="dcterms:W3CDTF">2022-01-24T15:08:00Z</dcterms:created>
  <dcterms:modified xsi:type="dcterms:W3CDTF">2022-01-25T16:17:00Z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941df-5ad5-414d-8ed3-558eeca5dbe9_Enabled">
    <vt:lpwstr>true</vt:lpwstr>
  </property>
  <property fmtid="{D5CDD505-2E9C-101B-9397-08002B2CF9AE}" pid="3" name="MSIP_Label_9a1941df-5ad5-414d-8ed3-558eeca5dbe9_SetDate">
    <vt:lpwstr>2021-10-04T11:12:09Z</vt:lpwstr>
  </property>
  <property fmtid="{D5CDD505-2E9C-101B-9397-08002B2CF9AE}" pid="4" name="MSIP_Label_9a1941df-5ad5-414d-8ed3-558eeca5dbe9_Method">
    <vt:lpwstr>Privileged</vt:lpwstr>
  </property>
  <property fmtid="{D5CDD505-2E9C-101B-9397-08002B2CF9AE}" pid="5" name="MSIP_Label_9a1941df-5ad5-414d-8ed3-558eeca5dbe9_Name">
    <vt:lpwstr>Non-Classified</vt:lpwstr>
  </property>
  <property fmtid="{D5CDD505-2E9C-101B-9397-08002B2CF9AE}" pid="6" name="MSIP_Label_9a1941df-5ad5-414d-8ed3-558eeca5dbe9_SiteId">
    <vt:lpwstr>b824bfb3-918e-43c2-bb1c-dcc1ba40a82b</vt:lpwstr>
  </property>
  <property fmtid="{D5CDD505-2E9C-101B-9397-08002B2CF9AE}" pid="7" name="MSIP_Label_9a1941df-5ad5-414d-8ed3-558eeca5dbe9_ActionId">
    <vt:lpwstr>848ebfd9-b25c-45e8-a069-efb2c553e980</vt:lpwstr>
  </property>
  <property fmtid="{D5CDD505-2E9C-101B-9397-08002B2CF9AE}" pid="8" name="MSIP_Label_9a1941df-5ad5-414d-8ed3-558eeca5dbe9_ContentBits">
    <vt:lpwstr>0</vt:lpwstr>
  </property>
  <property fmtid="{D5CDD505-2E9C-101B-9397-08002B2CF9AE}" pid="9" name="ContentTypeId">
    <vt:lpwstr>0x01010000EFCB4D9918784AAE4E5BF8C3DD77C3</vt:lpwstr>
  </property>
</Properties>
</file>