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A396B" w14:textId="66CFDC85" w:rsidR="00FB5559" w:rsidRPr="00DB7E35" w:rsidRDefault="00FB5559" w:rsidP="00E86841">
      <w:pPr>
        <w:ind w:left="567" w:right="1110"/>
        <w:rPr>
          <w:rFonts w:asciiTheme="minorHAnsi" w:hAnsiTheme="minorHAnsi" w:cstheme="minorHAnsi"/>
          <w:b/>
          <w:sz w:val="24"/>
        </w:rPr>
      </w:pPr>
      <w:r>
        <w:rPr>
          <w:rFonts w:asciiTheme="minorHAnsi" w:hAnsiTheme="minorHAnsi"/>
          <w:b/>
          <w:sz w:val="24"/>
        </w:rPr>
        <w:t>Enquête de la BEI sur le climat – 4</w:t>
      </w:r>
      <w:r>
        <w:rPr>
          <w:rFonts w:asciiTheme="minorHAnsi" w:hAnsiTheme="minorHAnsi"/>
          <w:b/>
          <w:sz w:val="24"/>
          <w:vertAlign w:val="superscript"/>
        </w:rPr>
        <w:t>e</w:t>
      </w:r>
      <w:r>
        <w:rPr>
          <w:rFonts w:asciiTheme="minorHAnsi" w:hAnsiTheme="minorHAnsi"/>
          <w:b/>
          <w:sz w:val="24"/>
        </w:rPr>
        <w:t> édition</w:t>
      </w:r>
    </w:p>
    <w:p w14:paraId="7149898C" w14:textId="33F1FBA8" w:rsidR="00FB5559" w:rsidRPr="00DB7E35" w:rsidRDefault="00FB5559" w:rsidP="00E86841">
      <w:pPr>
        <w:ind w:left="567" w:right="1110"/>
        <w:rPr>
          <w:rFonts w:asciiTheme="minorHAnsi" w:hAnsiTheme="minorHAnsi" w:cstheme="minorHAnsi"/>
          <w:sz w:val="20"/>
        </w:rPr>
      </w:pPr>
      <w:r>
        <w:rPr>
          <w:rFonts w:asciiTheme="minorHAnsi" w:hAnsiTheme="minorHAnsi"/>
          <w:sz w:val="18"/>
        </w:rPr>
        <w:t xml:space="preserve">Luxembourg/Paris, le </w:t>
      </w:r>
      <w:r w:rsidR="007E64CB" w:rsidRPr="007E64CB">
        <w:rPr>
          <w:rFonts w:asciiTheme="minorHAnsi" w:hAnsiTheme="minorHAnsi"/>
          <w:sz w:val="18"/>
        </w:rPr>
        <w:t>22</w:t>
      </w:r>
      <w:r w:rsidRPr="007E64CB">
        <w:rPr>
          <w:rFonts w:asciiTheme="minorHAnsi" w:hAnsiTheme="minorHAnsi"/>
          <w:sz w:val="18"/>
        </w:rPr>
        <w:t> mars 2022</w:t>
      </w:r>
    </w:p>
    <w:p w14:paraId="24BACD70" w14:textId="77777777" w:rsidR="00FB5559" w:rsidRPr="00DB7E35" w:rsidRDefault="00FB5559" w:rsidP="00E86841">
      <w:pPr>
        <w:ind w:left="567" w:right="1110"/>
        <w:jc w:val="left"/>
        <w:rPr>
          <w:rFonts w:asciiTheme="minorHAnsi" w:hAnsiTheme="minorHAnsi" w:cstheme="minorHAnsi"/>
          <w:b/>
          <w:bCs/>
          <w:sz w:val="28"/>
          <w:szCs w:val="28"/>
        </w:rPr>
      </w:pPr>
    </w:p>
    <w:p w14:paraId="3A2186A0" w14:textId="1F38A29E" w:rsidR="00717418" w:rsidRPr="00E86841" w:rsidRDefault="00DC0FF1" w:rsidP="00717418">
      <w:pPr>
        <w:ind w:left="567" w:right="1110"/>
        <w:jc w:val="left"/>
        <w:rPr>
          <w:rFonts w:asciiTheme="minorHAnsi" w:hAnsiTheme="minorHAnsi" w:cstheme="minorHAnsi"/>
          <w:b/>
          <w:bCs/>
          <w:sz w:val="28"/>
          <w:szCs w:val="28"/>
        </w:rPr>
      </w:pPr>
      <w:r>
        <w:rPr>
          <w:rFonts w:asciiTheme="minorHAnsi" w:hAnsiTheme="minorHAnsi"/>
          <w:b/>
          <w:sz w:val="28"/>
        </w:rPr>
        <w:t xml:space="preserve">La majorité des Français </w:t>
      </w:r>
      <w:r w:rsidR="00266DAB">
        <w:rPr>
          <w:rFonts w:asciiTheme="minorHAnsi" w:hAnsiTheme="minorHAnsi"/>
          <w:b/>
          <w:sz w:val="28"/>
        </w:rPr>
        <w:t>s’attend à</w:t>
      </w:r>
      <w:r>
        <w:rPr>
          <w:rFonts w:asciiTheme="minorHAnsi" w:hAnsiTheme="minorHAnsi"/>
          <w:b/>
          <w:sz w:val="28"/>
        </w:rPr>
        <w:t xml:space="preserve"> une amélioration de la qualité de vie et la création nette d’emplois </w:t>
      </w:r>
      <w:r w:rsidR="00266DAB">
        <w:rPr>
          <w:rFonts w:asciiTheme="minorHAnsi" w:hAnsiTheme="minorHAnsi"/>
          <w:b/>
          <w:sz w:val="28"/>
        </w:rPr>
        <w:t>grâce à</w:t>
      </w:r>
      <w:r>
        <w:rPr>
          <w:rFonts w:asciiTheme="minorHAnsi" w:hAnsiTheme="minorHAnsi"/>
          <w:b/>
          <w:sz w:val="28"/>
        </w:rPr>
        <w:t xml:space="preserve"> la transition écologique</w:t>
      </w:r>
    </w:p>
    <w:p w14:paraId="10E1360D" w14:textId="1DE11460" w:rsidR="004D1322" w:rsidRPr="00726AA6" w:rsidRDefault="004D1322" w:rsidP="00E86841">
      <w:pPr>
        <w:spacing w:line="264" w:lineRule="auto"/>
        <w:ind w:left="567" w:right="1110"/>
        <w:jc w:val="left"/>
        <w:rPr>
          <w:rFonts w:asciiTheme="minorHAnsi" w:hAnsiTheme="minorHAnsi" w:cstheme="minorHAnsi"/>
          <w:b/>
          <w:lang w:val="fr-BE"/>
        </w:rPr>
      </w:pPr>
    </w:p>
    <w:p w14:paraId="2750FC51" w14:textId="48E02907" w:rsidR="001A60B8" w:rsidRDefault="00E86841" w:rsidP="009A3F2A">
      <w:pPr>
        <w:pStyle w:val="ListParagraph"/>
        <w:numPr>
          <w:ilvl w:val="0"/>
          <w:numId w:val="13"/>
        </w:numPr>
        <w:ind w:left="567" w:right="1110"/>
        <w:rPr>
          <w:rFonts w:asciiTheme="minorHAnsi" w:eastAsia="PMingLiU" w:hAnsiTheme="minorHAnsi" w:cstheme="minorHAnsi"/>
          <w:b/>
          <w:bCs/>
          <w:sz w:val="22"/>
        </w:rPr>
      </w:pPr>
      <w:r>
        <w:rPr>
          <w:rFonts w:asciiTheme="minorHAnsi" w:hAnsiTheme="minorHAnsi"/>
          <w:b/>
          <w:sz w:val="22"/>
        </w:rPr>
        <w:t>59 % des Français pensent que les politiques climatiques amélioreront leur qualité de vie</w:t>
      </w:r>
    </w:p>
    <w:p w14:paraId="65F3D6BE" w14:textId="091C8CC4" w:rsidR="00394D1A" w:rsidRPr="001A60B8" w:rsidRDefault="00394D1A" w:rsidP="009A3F2A">
      <w:pPr>
        <w:pStyle w:val="ListParagraph"/>
        <w:numPr>
          <w:ilvl w:val="0"/>
          <w:numId w:val="13"/>
        </w:numPr>
        <w:ind w:left="567" w:right="1110"/>
        <w:rPr>
          <w:rFonts w:asciiTheme="minorHAnsi" w:eastAsia="PMingLiU" w:hAnsiTheme="minorHAnsi" w:cstheme="minorHAnsi"/>
          <w:b/>
          <w:bCs/>
          <w:sz w:val="22"/>
        </w:rPr>
      </w:pPr>
      <w:r>
        <w:rPr>
          <w:rFonts w:asciiTheme="minorHAnsi" w:hAnsiTheme="minorHAnsi"/>
          <w:b/>
          <w:sz w:val="22"/>
        </w:rPr>
        <w:t>55 % des Français disent que la transition écologique sera une source de croissance économique</w:t>
      </w:r>
    </w:p>
    <w:p w14:paraId="7B333A65" w14:textId="6637C38C" w:rsidR="00E86841" w:rsidRPr="00C3449D" w:rsidRDefault="004D1322" w:rsidP="00E86841">
      <w:pPr>
        <w:pStyle w:val="ListParagraph"/>
        <w:numPr>
          <w:ilvl w:val="0"/>
          <w:numId w:val="13"/>
        </w:numPr>
        <w:ind w:left="567" w:right="827"/>
        <w:rPr>
          <w:rFonts w:asciiTheme="minorHAnsi" w:eastAsia="PMingLiU" w:hAnsiTheme="minorHAnsi" w:cstheme="minorHAnsi"/>
          <w:b/>
          <w:bCs/>
          <w:sz w:val="22"/>
        </w:rPr>
      </w:pPr>
      <w:r>
        <w:rPr>
          <w:rFonts w:asciiTheme="minorHAnsi" w:hAnsiTheme="minorHAnsi"/>
          <w:b/>
          <w:sz w:val="22"/>
        </w:rPr>
        <w:t>55 % des Français estiment que les politiques de lutte contre le changement climatique créeront plus d’emplois qu’elles n’en détruiront</w:t>
      </w:r>
    </w:p>
    <w:p w14:paraId="4C87CDA8" w14:textId="5E4480EA" w:rsidR="00E86841" w:rsidRPr="00C3449D" w:rsidRDefault="00E86841" w:rsidP="00E86841">
      <w:pPr>
        <w:pStyle w:val="ListParagraph"/>
        <w:numPr>
          <w:ilvl w:val="0"/>
          <w:numId w:val="13"/>
        </w:numPr>
        <w:ind w:left="567" w:right="1110"/>
        <w:rPr>
          <w:rFonts w:asciiTheme="minorHAnsi" w:eastAsia="PMingLiU" w:hAnsiTheme="minorHAnsi" w:cstheme="minorHAnsi"/>
          <w:b/>
          <w:bCs/>
          <w:sz w:val="22"/>
        </w:rPr>
      </w:pPr>
      <w:r>
        <w:rPr>
          <w:rFonts w:asciiTheme="minorHAnsi" w:hAnsiTheme="minorHAnsi"/>
          <w:b/>
          <w:sz w:val="22"/>
        </w:rPr>
        <w:t>37 % des Français s’attendent à devoir déménager dans une autre région ou un autre pays en raison d</w:t>
      </w:r>
      <w:r w:rsidR="00266DAB">
        <w:rPr>
          <w:rFonts w:asciiTheme="minorHAnsi" w:hAnsiTheme="minorHAnsi"/>
          <w:b/>
          <w:sz w:val="22"/>
        </w:rPr>
        <w:t>u</w:t>
      </w:r>
      <w:r>
        <w:rPr>
          <w:rFonts w:asciiTheme="minorHAnsi" w:hAnsiTheme="minorHAnsi"/>
          <w:b/>
          <w:sz w:val="22"/>
        </w:rPr>
        <w:t xml:space="preserve"> changement</w:t>
      </w:r>
      <w:r w:rsidR="00266DAB">
        <w:rPr>
          <w:rFonts w:asciiTheme="minorHAnsi" w:hAnsiTheme="minorHAnsi"/>
          <w:b/>
          <w:sz w:val="22"/>
        </w:rPr>
        <w:t xml:space="preserve"> du</w:t>
      </w:r>
      <w:r>
        <w:rPr>
          <w:rFonts w:asciiTheme="minorHAnsi" w:hAnsiTheme="minorHAnsi"/>
          <w:b/>
          <w:sz w:val="22"/>
        </w:rPr>
        <w:t xml:space="preserve"> climatique; ce chiffre passe à 61 % chez les 20-29 ans</w:t>
      </w:r>
    </w:p>
    <w:p w14:paraId="6F4FCDCC" w14:textId="7836E3C3" w:rsidR="00535C41" w:rsidRPr="00DB7E35" w:rsidRDefault="00535C41" w:rsidP="00E86841">
      <w:pPr>
        <w:ind w:left="567" w:right="1110"/>
        <w:rPr>
          <w:rFonts w:asciiTheme="minorHAnsi" w:hAnsiTheme="minorHAnsi" w:cstheme="minorHAnsi"/>
          <w:bCs/>
        </w:rPr>
      </w:pPr>
    </w:p>
    <w:p w14:paraId="1388AA91" w14:textId="3AD2B100" w:rsidR="00D52831" w:rsidRPr="00DB7E35" w:rsidRDefault="00D52831" w:rsidP="00D52831">
      <w:pPr>
        <w:ind w:left="567" w:right="827"/>
        <w:rPr>
          <w:rFonts w:asciiTheme="minorHAnsi" w:hAnsiTheme="minorHAnsi" w:cstheme="minorHAnsi"/>
          <w:i/>
        </w:rPr>
      </w:pPr>
      <w:r>
        <w:rPr>
          <w:rFonts w:asciiTheme="minorHAnsi" w:hAnsiTheme="minorHAnsi"/>
          <w:i/>
        </w:rPr>
        <w:t xml:space="preserve">Ce sont là quelques-uns des </w:t>
      </w:r>
      <w:hyperlink r:id="rId8" w:history="1">
        <w:r>
          <w:rPr>
            <w:rStyle w:val="Hyperlink"/>
            <w:rFonts w:asciiTheme="minorHAnsi" w:hAnsiTheme="minorHAnsi"/>
            <w:i/>
          </w:rPr>
          <w:t>résultats de la dernière publication</w:t>
        </w:r>
      </w:hyperlink>
      <w:r>
        <w:rPr>
          <w:rFonts w:asciiTheme="minorHAnsi" w:hAnsiTheme="minorHAnsi"/>
          <w:i/>
        </w:rPr>
        <w:t xml:space="preserve"> de l’édition 2021-2022 de l’enquête sur le climat réalisée en septembre 2021 et diffusée ce jour par la Banque européenne d’investissement (BEI). Bras financier de l’Union européenne, la BEI est aussi le premier bailleur de fonds multilatéral au monde pour des projets à l’appui de l’action climatique.</w:t>
      </w:r>
    </w:p>
    <w:p w14:paraId="3BF2E103" w14:textId="6B07565A" w:rsidR="002C4D54" w:rsidRPr="009A3F2A" w:rsidRDefault="002C4D54" w:rsidP="00E86841">
      <w:pPr>
        <w:spacing w:after="160" w:line="256" w:lineRule="auto"/>
        <w:ind w:left="567" w:right="827"/>
        <w:rPr>
          <w:rFonts w:asciiTheme="minorHAnsi" w:hAnsiTheme="minorHAnsi" w:cstheme="minorHAnsi"/>
        </w:rPr>
      </w:pPr>
    </w:p>
    <w:p w14:paraId="5AF1231C" w14:textId="42AB6870" w:rsidR="00E86841" w:rsidRPr="009A3F2A" w:rsidRDefault="00E86841" w:rsidP="00E44966">
      <w:pPr>
        <w:keepNext/>
        <w:spacing w:after="160" w:line="256" w:lineRule="auto"/>
        <w:ind w:left="567" w:right="827"/>
        <w:rPr>
          <w:rFonts w:asciiTheme="minorHAnsi" w:eastAsiaTheme="minorHAnsi" w:hAnsiTheme="minorHAnsi" w:cstheme="minorHAnsi"/>
          <w:b/>
        </w:rPr>
      </w:pPr>
      <w:r>
        <w:rPr>
          <w:rFonts w:asciiTheme="minorHAnsi" w:hAnsiTheme="minorHAnsi"/>
          <w:b/>
        </w:rPr>
        <w:t>Amélioration de la qualité de vie, malgré une baisse du pouvoir d’achat</w:t>
      </w:r>
    </w:p>
    <w:p w14:paraId="03DE9402" w14:textId="0FB933DA" w:rsidR="00E86841" w:rsidRDefault="007E6AA4" w:rsidP="00E86841">
      <w:pPr>
        <w:ind w:left="567" w:right="827"/>
        <w:rPr>
          <w:rFonts w:asciiTheme="minorHAnsi" w:hAnsiTheme="minorHAnsi"/>
        </w:rPr>
      </w:pPr>
      <w:r>
        <w:rPr>
          <w:rFonts w:asciiTheme="minorHAnsi" w:hAnsiTheme="minorHAnsi"/>
        </w:rPr>
        <w:t>Les politiques visant à lutter contre le changement climatique sont-elles une bonne nouvelle pour l’économie ? Une majorité de Français le pensent : 55 % affirment que la transition écologique sera une source de croissance économique (chiffre comparable à la moyenne de l’UE, de 56 %).</w:t>
      </w:r>
    </w:p>
    <w:p w14:paraId="4F06FBC6" w14:textId="2BD73D11" w:rsidR="00431839" w:rsidRPr="00F55347" w:rsidRDefault="00431839" w:rsidP="00E86841">
      <w:pPr>
        <w:ind w:left="567" w:right="827"/>
        <w:rPr>
          <w:rFonts w:asciiTheme="minorHAnsi" w:hAnsiTheme="minorHAnsi" w:cstheme="minorHAnsi"/>
        </w:rPr>
      </w:pPr>
      <w:r w:rsidRPr="00431839">
        <w:rPr>
          <w:rFonts w:asciiTheme="minorHAnsi" w:hAnsiTheme="minorHAnsi" w:cstheme="minorHAnsi"/>
          <w:noProof/>
          <w:lang w:val="en-US" w:eastAsia="en-US"/>
        </w:rPr>
        <w:drawing>
          <wp:inline distT="0" distB="0" distL="0" distR="0" wp14:anchorId="7FB9B0BA" wp14:editId="706B2E5E">
            <wp:extent cx="3272390" cy="3272390"/>
            <wp:effectExtent l="0" t="0" r="4445" b="4445"/>
            <wp:docPr id="2" name="Picture 2" descr="\\beilux.eib.org\g_disk\ei-inf\private\Online and Multimedia Division\Projects\Climate surveys\Survey IV\Release 3\Infographics\Final infographics\2_EU heatmap_economic growth\2_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ilux.eib.org\g_disk\ei-inf\private\Online and Multimedia Division\Projects\Climate surveys\Survey IV\Release 3\Infographics\Final infographics\2_EU heatmap_economic growth\2_F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7439" cy="3277439"/>
                    </a:xfrm>
                    <a:prstGeom prst="rect">
                      <a:avLst/>
                    </a:prstGeom>
                    <a:noFill/>
                    <a:ln>
                      <a:noFill/>
                    </a:ln>
                  </pic:spPr>
                </pic:pic>
              </a:graphicData>
            </a:graphic>
          </wp:inline>
        </w:drawing>
      </w:r>
    </w:p>
    <w:p w14:paraId="25326F4D" w14:textId="77777777" w:rsidR="00A55E04" w:rsidRDefault="00A55E04" w:rsidP="00E86841">
      <w:pPr>
        <w:spacing w:line="264" w:lineRule="auto"/>
        <w:ind w:left="567" w:right="827"/>
        <w:jc w:val="left"/>
        <w:rPr>
          <w:rFonts w:asciiTheme="minorHAnsi" w:hAnsiTheme="minorHAnsi" w:cstheme="minorHAnsi"/>
        </w:rPr>
      </w:pPr>
    </w:p>
    <w:p w14:paraId="6474A16B" w14:textId="3CB75D37" w:rsidR="00E44966" w:rsidRDefault="00DE23E9" w:rsidP="00E86841">
      <w:pPr>
        <w:spacing w:line="264" w:lineRule="auto"/>
        <w:ind w:left="567" w:right="827"/>
        <w:jc w:val="left"/>
        <w:rPr>
          <w:rFonts w:asciiTheme="minorHAnsi" w:hAnsiTheme="minorHAnsi"/>
        </w:rPr>
      </w:pPr>
      <w:r>
        <w:rPr>
          <w:rFonts w:asciiTheme="minorHAnsi" w:hAnsiTheme="minorHAnsi"/>
        </w:rPr>
        <w:t xml:space="preserve">Au total, 59 % des Français interrogés estiment également que leur qualité de vie s’améliorera, ce qui se traduira par un quotidien plus confortable et des incidences positives sur leur alimentation ou leur santé. Les politiques visant à faire face à l’urgence climatique sont aussi considérées comme de </w:t>
      </w:r>
      <w:r>
        <w:rPr>
          <w:rFonts w:asciiTheme="minorHAnsi" w:hAnsiTheme="minorHAnsi"/>
        </w:rPr>
        <w:lastRenderedPageBreak/>
        <w:t>bonnes nouvelles pour le marché du travail : plus de la moitié des Français (55 %) estiment qu’elles auront un impact positif net sur l’emploi dans le pays, créant plus de postes qu’elles n’en détruiront.</w:t>
      </w:r>
    </w:p>
    <w:p w14:paraId="617FE1F1" w14:textId="302DB833" w:rsidR="00431839" w:rsidRDefault="00431839" w:rsidP="00E86841">
      <w:pPr>
        <w:spacing w:line="264" w:lineRule="auto"/>
        <w:ind w:left="567" w:right="827"/>
        <w:jc w:val="left"/>
        <w:rPr>
          <w:rFonts w:asciiTheme="minorHAnsi" w:hAnsiTheme="minorHAnsi" w:cstheme="minorHAnsi"/>
          <w:szCs w:val="22"/>
        </w:rPr>
      </w:pPr>
      <w:r w:rsidRPr="00431839">
        <w:rPr>
          <w:rFonts w:asciiTheme="minorHAnsi" w:hAnsiTheme="minorHAnsi" w:cstheme="minorHAnsi"/>
          <w:noProof/>
          <w:szCs w:val="22"/>
          <w:lang w:val="en-US" w:eastAsia="en-US"/>
        </w:rPr>
        <w:drawing>
          <wp:inline distT="0" distB="0" distL="0" distR="0" wp14:anchorId="5262C847" wp14:editId="5B86C4C3">
            <wp:extent cx="3301590" cy="3301590"/>
            <wp:effectExtent l="0" t="0" r="0" b="0"/>
            <wp:docPr id="3" name="Picture 3" descr="\\beilux.eib.org\g_disk\ei-inf\private\Online and Multimedia Division\Projects\Climate surveys\Survey IV\Release 3\Infographics\Final infographics\1_EU heatmap_quality of life\1_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ilux.eib.org\g_disk\ei-inf\private\Online and Multimedia Division\Projects\Climate surveys\Survey IV\Release 3\Infographics\Final infographics\1_EU heatmap_quality of life\1_F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05219" cy="3305219"/>
                    </a:xfrm>
                    <a:prstGeom prst="rect">
                      <a:avLst/>
                    </a:prstGeom>
                    <a:noFill/>
                    <a:ln>
                      <a:noFill/>
                    </a:ln>
                  </pic:spPr>
                </pic:pic>
              </a:graphicData>
            </a:graphic>
          </wp:inline>
        </w:drawing>
      </w:r>
    </w:p>
    <w:p w14:paraId="16461D5D" w14:textId="51A93C21" w:rsidR="00A55E04" w:rsidRDefault="00A55E04" w:rsidP="00E86841">
      <w:pPr>
        <w:spacing w:line="264" w:lineRule="auto"/>
        <w:ind w:left="567" w:right="827"/>
        <w:jc w:val="left"/>
        <w:rPr>
          <w:rFonts w:asciiTheme="minorHAnsi" w:hAnsiTheme="minorHAnsi" w:cstheme="minorHAnsi"/>
          <w:szCs w:val="22"/>
        </w:rPr>
      </w:pPr>
    </w:p>
    <w:p w14:paraId="57D83855" w14:textId="77777777" w:rsidR="00E44966" w:rsidRDefault="005D6CB4" w:rsidP="00E86841">
      <w:pPr>
        <w:spacing w:line="264" w:lineRule="auto"/>
        <w:ind w:left="567" w:right="827"/>
        <w:jc w:val="left"/>
        <w:rPr>
          <w:rFonts w:asciiTheme="minorHAnsi" w:hAnsiTheme="minorHAnsi" w:cstheme="minorHAnsi"/>
        </w:rPr>
      </w:pPr>
      <w:r>
        <w:rPr>
          <w:rFonts w:asciiTheme="minorHAnsi" w:hAnsiTheme="minorHAnsi"/>
        </w:rPr>
        <w:t>Cependant, ils sont trois quarts (72 %) à prévoir une diminution de leur pouvoir d’achat dans le sillage de la mise en œuvre de la transition écologique.</w:t>
      </w:r>
    </w:p>
    <w:p w14:paraId="2338EE91" w14:textId="69616122" w:rsidR="00E86841" w:rsidRDefault="00E86841" w:rsidP="00E86841">
      <w:pPr>
        <w:spacing w:line="264" w:lineRule="auto"/>
        <w:ind w:left="567" w:right="827"/>
        <w:jc w:val="left"/>
        <w:rPr>
          <w:rFonts w:asciiTheme="minorHAnsi" w:hAnsiTheme="minorHAnsi" w:cstheme="minorHAnsi"/>
          <w:szCs w:val="22"/>
        </w:rPr>
      </w:pPr>
    </w:p>
    <w:p w14:paraId="598D0193" w14:textId="77777777" w:rsidR="00E86841" w:rsidRPr="00DB7E35" w:rsidRDefault="00E86841" w:rsidP="009A3F2A">
      <w:pPr>
        <w:spacing w:line="264" w:lineRule="auto"/>
        <w:ind w:right="827"/>
        <w:jc w:val="left"/>
        <w:rPr>
          <w:rFonts w:asciiTheme="minorHAnsi" w:hAnsiTheme="minorHAnsi" w:cstheme="minorHAnsi"/>
          <w:szCs w:val="22"/>
        </w:rPr>
      </w:pPr>
    </w:p>
    <w:p w14:paraId="43A92AA6" w14:textId="1AA69712" w:rsidR="007C4537" w:rsidRPr="009A3F2A" w:rsidRDefault="007C4537" w:rsidP="00E44966">
      <w:pPr>
        <w:keepNext/>
        <w:spacing w:after="160" w:line="256" w:lineRule="auto"/>
        <w:ind w:left="567" w:right="827"/>
        <w:rPr>
          <w:rFonts w:asciiTheme="minorHAnsi" w:hAnsiTheme="minorHAnsi" w:cstheme="minorHAnsi"/>
          <w:b/>
        </w:rPr>
      </w:pPr>
      <w:r>
        <w:rPr>
          <w:rFonts w:asciiTheme="minorHAnsi" w:hAnsiTheme="minorHAnsi"/>
          <w:b/>
        </w:rPr>
        <w:t>Migration vers d’autres régions et changement d’emploi</w:t>
      </w:r>
    </w:p>
    <w:p w14:paraId="61664D7D" w14:textId="1ECCC694" w:rsidR="00E86841" w:rsidRDefault="000F54A8" w:rsidP="00E86841">
      <w:pPr>
        <w:spacing w:line="264" w:lineRule="auto"/>
        <w:ind w:left="567" w:right="827"/>
        <w:rPr>
          <w:rFonts w:asciiTheme="minorHAnsi" w:hAnsiTheme="minorHAnsi" w:cstheme="minorHAnsi"/>
          <w:szCs w:val="22"/>
        </w:rPr>
      </w:pPr>
      <w:r>
        <w:rPr>
          <w:rFonts w:asciiTheme="minorHAnsi" w:hAnsiTheme="minorHAnsi"/>
        </w:rPr>
        <w:t>D’après les Français interrogés, les défis liés au changement climatique devraient perdurer. Si un quart (24 %) d’entre eux estiment que l’urgence climatique sera maîtrisée d’ici à 2050, 72 % ont le sentiment qu’elle continuera alors à constituer un problème majeur.</w:t>
      </w:r>
    </w:p>
    <w:p w14:paraId="6A45396B" w14:textId="77777777" w:rsidR="002C4D54" w:rsidRDefault="002C4D54" w:rsidP="00E86841">
      <w:pPr>
        <w:spacing w:line="264" w:lineRule="auto"/>
        <w:ind w:left="567" w:right="827"/>
        <w:rPr>
          <w:rFonts w:asciiTheme="minorHAnsi" w:hAnsiTheme="minorHAnsi" w:cstheme="minorHAnsi"/>
          <w:szCs w:val="22"/>
        </w:rPr>
      </w:pPr>
    </w:p>
    <w:p w14:paraId="21863E02" w14:textId="5E202EA0" w:rsidR="00E44966" w:rsidRDefault="002C4D54" w:rsidP="00E86841">
      <w:pPr>
        <w:spacing w:line="264" w:lineRule="auto"/>
        <w:ind w:left="567" w:right="827"/>
        <w:rPr>
          <w:rFonts w:asciiTheme="minorHAnsi" w:hAnsiTheme="minorHAnsi"/>
        </w:rPr>
      </w:pPr>
      <w:r>
        <w:rPr>
          <w:rFonts w:asciiTheme="minorHAnsi" w:hAnsiTheme="minorHAnsi"/>
        </w:rPr>
        <w:t>Les Français déclarent constater que le changement climatique menacent leur lieu de résidence. Interrogés sur l’impact à long terme de la crise climatique, plus d’un tiers d’entre eux (37 %) s’attendent à devoir déménager dans une autre région ou un autre pays en raison d</w:t>
      </w:r>
      <w:r w:rsidR="003C2626">
        <w:rPr>
          <w:rFonts w:asciiTheme="minorHAnsi" w:hAnsiTheme="minorHAnsi"/>
        </w:rPr>
        <w:t>u</w:t>
      </w:r>
      <w:r>
        <w:rPr>
          <w:rFonts w:asciiTheme="minorHAnsi" w:hAnsiTheme="minorHAnsi"/>
        </w:rPr>
        <w:t xml:space="preserve"> changement climatique. Cette préoccupation est beaucoup plus forte chez les personnes âgées d’une vingtaine d’années, 61 % d’entre elles se déclarant préoccupées par l’éventualité de devoir déménager en raison de la question climatique. De nombreux Français, en particulier les jeunes, doutent également de la pérennité de leur emploi : près de la moitié des personnes interrogées âgées de 20 à 29 ans (45 %) craignent de perdre leur emploi en raison de son incompatibilité avec la lutte contre le changement climatique (20 points de plus que la moyenne nationale de 25 %).</w:t>
      </w:r>
    </w:p>
    <w:p w14:paraId="13A98B9E" w14:textId="39E62B62" w:rsidR="00431839" w:rsidRDefault="00431839" w:rsidP="00E86841">
      <w:pPr>
        <w:spacing w:line="264" w:lineRule="auto"/>
        <w:ind w:left="567" w:right="827"/>
        <w:rPr>
          <w:rFonts w:asciiTheme="minorHAnsi" w:hAnsiTheme="minorHAnsi" w:cstheme="minorHAnsi"/>
          <w:szCs w:val="22"/>
        </w:rPr>
      </w:pPr>
      <w:r w:rsidRPr="00431839">
        <w:rPr>
          <w:rFonts w:asciiTheme="minorHAnsi" w:hAnsiTheme="minorHAnsi" w:cstheme="minorHAnsi"/>
          <w:noProof/>
          <w:szCs w:val="22"/>
          <w:lang w:val="en-US" w:eastAsia="en-US"/>
        </w:rPr>
        <w:lastRenderedPageBreak/>
        <w:drawing>
          <wp:inline distT="0" distB="0" distL="0" distR="0" wp14:anchorId="7E55F8B8" wp14:editId="7DBB70FC">
            <wp:extent cx="3575608" cy="3575608"/>
            <wp:effectExtent l="0" t="0" r="6350" b="6350"/>
            <wp:docPr id="4" name="Picture 4" descr="\\beilux.eib.org\g_disk\ei-inf\private\Online and Multimedia Division\Projects\Climate surveys\Survey IV\Release 3\Infographics\Final infographics\3_EU heatmap_move regions\3_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ilux.eib.org\g_disk\ei-inf\private\Online and Multimedia Division\Projects\Climate surveys\Survey IV\Release 3\Infographics\Final infographics\3_EU heatmap_move regions\3_F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85245" cy="3585245"/>
                    </a:xfrm>
                    <a:prstGeom prst="rect">
                      <a:avLst/>
                    </a:prstGeom>
                    <a:noFill/>
                    <a:ln>
                      <a:noFill/>
                    </a:ln>
                  </pic:spPr>
                </pic:pic>
              </a:graphicData>
            </a:graphic>
          </wp:inline>
        </w:drawing>
      </w:r>
    </w:p>
    <w:p w14:paraId="1E6F8556" w14:textId="1CF5ECB3" w:rsidR="003A7CC5" w:rsidRPr="00AD5E49" w:rsidRDefault="003A7CC5" w:rsidP="009A3F2A">
      <w:pPr>
        <w:spacing w:line="264" w:lineRule="auto"/>
        <w:ind w:left="567" w:right="827"/>
        <w:rPr>
          <w:rFonts w:asciiTheme="minorHAnsi" w:eastAsiaTheme="minorHAnsi" w:hAnsiTheme="minorHAnsi" w:cstheme="minorHAnsi"/>
          <w:b/>
          <w:color w:val="1F4E79" w:themeColor="accent1" w:themeShade="80"/>
          <w:lang w:eastAsia="en-US"/>
        </w:rPr>
      </w:pPr>
    </w:p>
    <w:p w14:paraId="320C3620" w14:textId="77777777" w:rsidR="00F5086B" w:rsidRPr="00AD5E49" w:rsidRDefault="00F5086B" w:rsidP="00E86841">
      <w:pPr>
        <w:spacing w:after="160" w:line="256" w:lineRule="auto"/>
        <w:ind w:left="567" w:right="827"/>
        <w:rPr>
          <w:rFonts w:asciiTheme="minorHAnsi" w:eastAsiaTheme="minorHAnsi" w:hAnsiTheme="minorHAnsi" w:cstheme="minorHAnsi"/>
          <w:b/>
          <w:color w:val="1F4E79" w:themeColor="accent1" w:themeShade="80"/>
          <w:lang w:eastAsia="en-US"/>
        </w:rPr>
      </w:pPr>
    </w:p>
    <w:p w14:paraId="1667B3C6" w14:textId="2A2394B2" w:rsidR="00E86841" w:rsidRPr="00AD5E49" w:rsidRDefault="00A133DD" w:rsidP="00E44966">
      <w:pPr>
        <w:keepNext/>
        <w:spacing w:after="160" w:line="256" w:lineRule="auto"/>
        <w:ind w:left="567" w:right="827"/>
        <w:rPr>
          <w:rFonts w:asciiTheme="minorHAnsi" w:eastAsiaTheme="minorHAnsi" w:hAnsiTheme="minorHAnsi" w:cstheme="minorHAnsi"/>
          <w:b/>
        </w:rPr>
      </w:pPr>
      <w:r>
        <w:rPr>
          <w:rFonts w:asciiTheme="minorHAnsi" w:hAnsiTheme="minorHAnsi"/>
          <w:b/>
        </w:rPr>
        <w:t>Adaptation des modes de vie sur le long terme</w:t>
      </w:r>
    </w:p>
    <w:p w14:paraId="236876BE" w14:textId="31FD9A5E" w:rsidR="00E86841" w:rsidRPr="00AD5E49" w:rsidRDefault="00D16C86" w:rsidP="00E86841">
      <w:pPr>
        <w:spacing w:line="264" w:lineRule="auto"/>
        <w:ind w:left="567" w:right="827"/>
        <w:rPr>
          <w:rFonts w:asciiTheme="minorHAnsi" w:hAnsiTheme="minorHAnsi" w:cstheme="minorHAnsi"/>
          <w:szCs w:val="22"/>
        </w:rPr>
      </w:pPr>
      <w:r>
        <w:rPr>
          <w:rFonts w:asciiTheme="minorHAnsi" w:hAnsiTheme="minorHAnsi"/>
        </w:rPr>
        <w:t>Pour lutter contre le changement climatique, les Français savent qu’ils doivent modifier leurs comportements. Selon eux, les modifications du mode de vie qui réduisent les émissions de carbone au niveau individuel monteront fortement en puissance au cours des 20 prochaines années. Un tiers des personnes interrogées (34 %) estiment que la plupart des individus ne possèderont plus de voiture d’ici 20 ans et 62 % pensent que la plupart d’entre eux télétravailleront pour contribuer à la lutte contre le changement climatique. Enfin, un tiers (32 %) pensent que la majeure partie de la population aura adopté un régime à base de plantes et 47 % prédisent qu’un quota énergétique sera alloué à chaque citoyen.</w:t>
      </w:r>
    </w:p>
    <w:p w14:paraId="79A01942" w14:textId="77777777" w:rsidR="00E86841" w:rsidRPr="00AD5E49" w:rsidRDefault="00E86841" w:rsidP="00E86841">
      <w:pPr>
        <w:spacing w:line="264" w:lineRule="auto"/>
        <w:ind w:left="567" w:right="827"/>
        <w:rPr>
          <w:rFonts w:asciiTheme="minorHAnsi" w:hAnsiTheme="minorHAnsi" w:cstheme="minorHAnsi"/>
          <w:szCs w:val="22"/>
        </w:rPr>
      </w:pPr>
    </w:p>
    <w:p w14:paraId="6422D195" w14:textId="77777777" w:rsidR="00827C49" w:rsidRPr="00AD5E49" w:rsidRDefault="00827C49" w:rsidP="00E44966">
      <w:pPr>
        <w:keepNext/>
        <w:spacing w:line="264" w:lineRule="auto"/>
        <w:ind w:left="567" w:right="827"/>
        <w:rPr>
          <w:rFonts w:asciiTheme="minorHAnsi" w:hAnsiTheme="minorHAnsi" w:cstheme="minorHAnsi"/>
          <w:b/>
          <w:bCs/>
          <w:iCs/>
          <w:szCs w:val="22"/>
        </w:rPr>
      </w:pPr>
      <w:r>
        <w:rPr>
          <w:rFonts w:asciiTheme="minorHAnsi" w:hAnsiTheme="minorHAnsi"/>
          <w:b/>
        </w:rPr>
        <w:t>Comparaison à l’échelle mondiale : différences entre Européens, Britanniques, Américains et Chinois</w:t>
      </w:r>
    </w:p>
    <w:p w14:paraId="26CF35F2" w14:textId="4BA7D29A" w:rsidR="00827C49" w:rsidRDefault="00827C49" w:rsidP="00827C49">
      <w:pPr>
        <w:spacing w:line="264" w:lineRule="auto"/>
        <w:ind w:left="567" w:right="827"/>
        <w:rPr>
          <w:rFonts w:asciiTheme="minorHAnsi" w:hAnsiTheme="minorHAnsi"/>
        </w:rPr>
      </w:pPr>
      <w:r>
        <w:rPr>
          <w:rFonts w:asciiTheme="minorHAnsi" w:hAnsiTheme="minorHAnsi"/>
        </w:rPr>
        <w:t>Dans l’ensemble, les Européens sont partagés quant à savoir si la transition écologique sera ou non source de croissance économique. Pour 56 % d’entre eux, ce sera le cas, ce qui correspond au sentiment des Américains et des Britanniques (57 %), tandis que les Chinois sont plus optimistes (67 %). Toutefois, la majorité des Européens (61 %) estiment que leur qualité de vie s’améliorera, ce qui se traduira par un quotidien plus confortable et des incidences positives sur leur alimentation ou leur santé. Les Européens sont plus pessimistes que les Chinois (77 %), les Américains (65 %) et les Britanniques (63 %).</w:t>
      </w:r>
    </w:p>
    <w:p w14:paraId="004736D1" w14:textId="2700EF92" w:rsidR="00431839" w:rsidRPr="00AD5E49" w:rsidRDefault="00431839" w:rsidP="00827C49">
      <w:pPr>
        <w:spacing w:line="264" w:lineRule="auto"/>
        <w:ind w:left="567" w:right="827"/>
        <w:rPr>
          <w:rFonts w:asciiTheme="minorHAnsi" w:hAnsiTheme="minorHAnsi" w:cstheme="minorHAnsi"/>
          <w:iCs/>
          <w:szCs w:val="22"/>
        </w:rPr>
      </w:pPr>
      <w:r w:rsidRPr="00431839">
        <w:rPr>
          <w:rFonts w:asciiTheme="minorHAnsi" w:hAnsiTheme="minorHAnsi" w:cstheme="minorHAnsi"/>
          <w:iCs/>
          <w:noProof/>
          <w:szCs w:val="22"/>
          <w:lang w:val="en-US" w:eastAsia="en-US"/>
        </w:rPr>
        <w:lastRenderedPageBreak/>
        <w:drawing>
          <wp:inline distT="0" distB="0" distL="0" distR="0" wp14:anchorId="0C939ADA" wp14:editId="5223A85B">
            <wp:extent cx="3379836" cy="3379836"/>
            <wp:effectExtent l="0" t="0" r="0" b="0"/>
            <wp:docPr id="5" name="Picture 5" descr="\\beilux.eib.org\g_disk\ei-inf\private\Online and Multimedia Division\Projects\Climate surveys\Survey IV\Release 3\Infographics\Final infographics\4_EU-US-China comparison\4_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ilux.eib.org\g_disk\ei-inf\private\Online and Multimedia Division\Projects\Climate surveys\Survey IV\Release 3\Infographics\Final infographics\4_EU-US-China comparison\4_F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84446" cy="3384446"/>
                    </a:xfrm>
                    <a:prstGeom prst="rect">
                      <a:avLst/>
                    </a:prstGeom>
                    <a:noFill/>
                    <a:ln>
                      <a:noFill/>
                    </a:ln>
                  </pic:spPr>
                </pic:pic>
              </a:graphicData>
            </a:graphic>
          </wp:inline>
        </w:drawing>
      </w:r>
      <w:bookmarkStart w:id="0" w:name="_GoBack"/>
      <w:bookmarkEnd w:id="0"/>
    </w:p>
    <w:p w14:paraId="2DECC7E9" w14:textId="77777777" w:rsidR="00E86841" w:rsidRPr="00AD5E49" w:rsidRDefault="00E86841" w:rsidP="00E86841">
      <w:pPr>
        <w:spacing w:line="264" w:lineRule="auto"/>
        <w:ind w:left="567" w:right="827"/>
        <w:rPr>
          <w:rFonts w:asciiTheme="minorHAnsi" w:hAnsiTheme="minorHAnsi" w:cstheme="minorHAnsi"/>
          <w:szCs w:val="22"/>
        </w:rPr>
      </w:pPr>
    </w:p>
    <w:p w14:paraId="6FBE07EA" w14:textId="3AD63D9F" w:rsidR="00E86841" w:rsidRPr="00AD5E49" w:rsidRDefault="00E86841" w:rsidP="00E86841">
      <w:pPr>
        <w:ind w:left="567" w:right="827"/>
        <w:rPr>
          <w:rFonts w:asciiTheme="minorHAnsi" w:hAnsiTheme="minorHAnsi" w:cstheme="minorHAnsi"/>
          <w:i/>
          <w:iCs/>
          <w:szCs w:val="22"/>
        </w:rPr>
      </w:pPr>
      <w:r>
        <w:rPr>
          <w:rFonts w:asciiTheme="minorHAnsi" w:hAnsiTheme="minorHAnsi"/>
        </w:rPr>
        <w:t xml:space="preserve">Ambroise Fayolle, vice-président de la BEI : </w:t>
      </w:r>
      <w:r>
        <w:rPr>
          <w:rFonts w:asciiTheme="minorHAnsi" w:hAnsiTheme="minorHAnsi"/>
          <w:i/>
        </w:rPr>
        <w:t>« Les Français voient clairement les possibilités qu’offre la transition écologique pour leur qualité de vie ainsi que pour le marché du travail. Mais ils s’inquiètent également de l’impact à long terme d</w:t>
      </w:r>
      <w:r w:rsidR="003C2626">
        <w:rPr>
          <w:rFonts w:asciiTheme="minorHAnsi" w:hAnsiTheme="minorHAnsi"/>
          <w:i/>
        </w:rPr>
        <w:t>u</w:t>
      </w:r>
      <w:r>
        <w:rPr>
          <w:rFonts w:asciiTheme="minorHAnsi" w:hAnsiTheme="minorHAnsi"/>
          <w:i/>
        </w:rPr>
        <w:t xml:space="preserve"> changement climatique sur leur propre quotidien et sur la société dans son ensemble. En tant que banque européenne du climat, il est de notre devoir d’entendre ces préoccupations et de travailler avec les responsables politiques et les partenaires sectoriels pour y répondre concrètement. Ce faisant, nous pouvons contribuer à la transition vers un avenir plus vert et plus prospère, qui ne laisse personne de côté. »</w:t>
      </w:r>
    </w:p>
    <w:p w14:paraId="7795E634" w14:textId="77777777" w:rsidR="001916BA" w:rsidRPr="00AD5E49" w:rsidRDefault="001916BA" w:rsidP="00E86841">
      <w:pPr>
        <w:spacing w:line="264" w:lineRule="auto"/>
        <w:ind w:left="567" w:right="1110"/>
        <w:rPr>
          <w:rFonts w:asciiTheme="minorHAnsi" w:hAnsiTheme="minorHAnsi" w:cstheme="minorHAnsi"/>
          <w:szCs w:val="22"/>
        </w:rPr>
      </w:pPr>
    </w:p>
    <w:p w14:paraId="3784B236" w14:textId="694D925B" w:rsidR="004C6264" w:rsidRPr="00AD5E49" w:rsidRDefault="004C6264" w:rsidP="00E86841">
      <w:pPr>
        <w:spacing w:line="264" w:lineRule="auto"/>
        <w:ind w:left="567" w:right="1110"/>
        <w:rPr>
          <w:rFonts w:asciiTheme="minorHAnsi" w:hAnsiTheme="minorHAnsi" w:cstheme="minorHAnsi"/>
          <w:szCs w:val="22"/>
        </w:rPr>
      </w:pPr>
      <w:r>
        <w:rPr>
          <w:rFonts w:asciiTheme="minorHAnsi" w:hAnsiTheme="minorHAnsi"/>
        </w:rPr>
        <w:t>--</w:t>
      </w:r>
    </w:p>
    <w:p w14:paraId="2AA47F32" w14:textId="03B0789C" w:rsidR="004C6264" w:rsidRPr="00AD5E49" w:rsidRDefault="004C6264" w:rsidP="00E86841">
      <w:pPr>
        <w:spacing w:line="264" w:lineRule="auto"/>
        <w:ind w:left="567" w:right="1110"/>
        <w:rPr>
          <w:rFonts w:asciiTheme="minorHAnsi" w:hAnsiTheme="minorHAnsi" w:cstheme="minorHAnsi"/>
          <w:szCs w:val="22"/>
        </w:rPr>
      </w:pPr>
    </w:p>
    <w:p w14:paraId="0826A129" w14:textId="2172BFED" w:rsidR="004C6264" w:rsidRPr="00DB7E35" w:rsidRDefault="004C6264" w:rsidP="00E86841">
      <w:pPr>
        <w:ind w:left="567" w:right="1110"/>
        <w:rPr>
          <w:rFonts w:asciiTheme="minorHAnsi" w:eastAsiaTheme="minorHAnsi" w:hAnsiTheme="minorHAnsi" w:cstheme="minorHAnsi"/>
        </w:rPr>
      </w:pPr>
      <w:r>
        <w:rPr>
          <w:rFonts w:asciiTheme="minorHAnsi" w:hAnsiTheme="minorHAnsi"/>
        </w:rPr>
        <w:t xml:space="preserve">Téléchargez le tableau Excel regroupant les données brutes des 30 pays étudiés en cliquant </w:t>
      </w:r>
      <w:hyperlink r:id="rId13" w:history="1">
        <w:r>
          <w:rPr>
            <w:rStyle w:val="Hyperlink"/>
            <w:rFonts w:asciiTheme="minorHAnsi" w:hAnsiTheme="minorHAnsi"/>
          </w:rPr>
          <w:t>ici</w:t>
        </w:r>
      </w:hyperlink>
      <w:r>
        <w:rPr>
          <w:rFonts w:asciiTheme="minorHAnsi" w:hAnsiTheme="minorHAnsi"/>
        </w:rPr>
        <w:t xml:space="preserve">. Veuillez cliquer </w:t>
      </w:r>
      <w:hyperlink r:id="rId14" w:history="1">
        <w:r>
          <w:rPr>
            <w:rStyle w:val="Hyperlink"/>
            <w:rFonts w:asciiTheme="minorHAnsi" w:hAnsiTheme="minorHAnsi"/>
          </w:rPr>
          <w:t>ici</w:t>
        </w:r>
      </w:hyperlink>
      <w:r>
        <w:rPr>
          <w:rFonts w:asciiTheme="minorHAnsi" w:hAnsiTheme="minorHAnsi"/>
        </w:rPr>
        <w:t xml:space="preserve"> pour accéder à une page internet de la BEI présentant les principales conclusions de la quatrième enquête de la BEI sur le climat.</w:t>
      </w:r>
    </w:p>
    <w:p w14:paraId="4D016421" w14:textId="77777777" w:rsidR="004C6264" w:rsidRPr="00DB7E35" w:rsidRDefault="004C6264" w:rsidP="00E86841">
      <w:pPr>
        <w:ind w:left="567" w:right="1110"/>
        <w:rPr>
          <w:rFonts w:asciiTheme="minorHAnsi" w:eastAsiaTheme="minorHAnsi" w:hAnsiTheme="minorHAnsi" w:cstheme="minorHAnsi"/>
          <w:lang w:eastAsia="en-US"/>
        </w:rPr>
      </w:pPr>
    </w:p>
    <w:p w14:paraId="496B35B5" w14:textId="77777777" w:rsidR="004C6264" w:rsidRPr="00DB7E35" w:rsidRDefault="004C6264" w:rsidP="00E86841">
      <w:pPr>
        <w:ind w:left="567" w:right="1110"/>
        <w:rPr>
          <w:rFonts w:asciiTheme="minorHAnsi" w:hAnsiTheme="minorHAnsi" w:cstheme="minorHAnsi"/>
          <w:b/>
          <w:bCs/>
        </w:rPr>
      </w:pPr>
      <w:r>
        <w:rPr>
          <w:rFonts w:asciiTheme="minorHAnsi" w:hAnsiTheme="minorHAnsi"/>
          <w:b/>
        </w:rPr>
        <w:t>FIN</w:t>
      </w:r>
    </w:p>
    <w:p w14:paraId="30F833ED" w14:textId="77777777" w:rsidR="004C6264" w:rsidRPr="00DB7E35" w:rsidRDefault="004C6264" w:rsidP="00E86841">
      <w:pPr>
        <w:ind w:left="567" w:right="1110"/>
        <w:rPr>
          <w:rFonts w:asciiTheme="minorHAnsi" w:hAnsiTheme="minorHAnsi" w:cstheme="minorHAnsi"/>
          <w:b/>
          <w:bCs/>
        </w:rPr>
      </w:pPr>
    </w:p>
    <w:p w14:paraId="12162FB9" w14:textId="4A39B792" w:rsidR="00E44966" w:rsidRDefault="004C6264" w:rsidP="00E86841">
      <w:pPr>
        <w:ind w:left="567" w:right="1110"/>
        <w:rPr>
          <w:rFonts w:asciiTheme="minorHAnsi" w:hAnsiTheme="minorHAnsi" w:cstheme="minorHAnsi"/>
        </w:rPr>
      </w:pPr>
      <w:r>
        <w:rPr>
          <w:b/>
        </w:rPr>
        <w:t xml:space="preserve">Contact pour la presse – </w:t>
      </w:r>
      <w:r>
        <w:rPr>
          <w:rFonts w:asciiTheme="minorHAnsi" w:hAnsiTheme="minorHAnsi"/>
        </w:rPr>
        <w:t>Christophe Alix (</w:t>
      </w:r>
      <w:hyperlink r:id="rId15" w:history="1">
        <w:r>
          <w:rPr>
            <w:rStyle w:val="Hyperlink"/>
            <w:rFonts w:asciiTheme="minorHAnsi" w:hAnsiTheme="minorHAnsi"/>
          </w:rPr>
          <w:t>c.alix@eib.org</w:t>
        </w:r>
      </w:hyperlink>
      <w:r>
        <w:rPr>
          <w:rFonts w:asciiTheme="minorHAnsi" w:hAnsiTheme="minorHAnsi"/>
        </w:rPr>
        <w:t>)</w:t>
      </w:r>
    </w:p>
    <w:p w14:paraId="782E5A48" w14:textId="3605A84C" w:rsidR="004C6264" w:rsidRPr="00DB7E35" w:rsidRDefault="004C6264" w:rsidP="00E86841">
      <w:pPr>
        <w:spacing w:after="160" w:line="256" w:lineRule="auto"/>
        <w:ind w:left="567" w:right="1110"/>
        <w:rPr>
          <w:rFonts w:asciiTheme="minorHAnsi" w:eastAsiaTheme="minorHAnsi" w:hAnsiTheme="minorHAnsi" w:cstheme="minorHAnsi"/>
          <w:b/>
          <w:lang w:eastAsia="en-US"/>
        </w:rPr>
      </w:pPr>
    </w:p>
    <w:p w14:paraId="1EA006E0" w14:textId="77777777" w:rsidR="00E44966" w:rsidRDefault="004C6264" w:rsidP="00E44966">
      <w:pPr>
        <w:keepNext/>
        <w:spacing w:after="160" w:line="256" w:lineRule="auto"/>
        <w:ind w:left="567" w:right="1110"/>
        <w:rPr>
          <w:rFonts w:asciiTheme="minorHAnsi" w:eastAsiaTheme="minorHAnsi" w:hAnsiTheme="minorHAnsi" w:cstheme="minorHAnsi"/>
          <w:b/>
        </w:rPr>
      </w:pPr>
      <w:r>
        <w:rPr>
          <w:rFonts w:asciiTheme="minorHAnsi" w:hAnsiTheme="minorHAnsi"/>
          <w:b/>
        </w:rPr>
        <w:t>À propos de l’enquête de la BEI sur le climat</w:t>
      </w:r>
    </w:p>
    <w:p w14:paraId="08232D73" w14:textId="1666DE5B" w:rsidR="00E44966" w:rsidRDefault="004C6264" w:rsidP="00E86841">
      <w:pPr>
        <w:spacing w:after="160" w:line="256" w:lineRule="auto"/>
        <w:ind w:left="567" w:right="1110"/>
        <w:rPr>
          <w:rFonts w:asciiTheme="minorHAnsi" w:eastAsia="Calibri" w:hAnsiTheme="minorHAnsi" w:cstheme="minorHAnsi"/>
        </w:rPr>
      </w:pPr>
      <w:r>
        <w:rPr>
          <w:rFonts w:asciiTheme="minorHAnsi" w:hAnsiTheme="minorHAnsi"/>
        </w:rPr>
        <w:t>La Banque européenne d’investissement a lancé la quatrième édition de son enquête sur le climat. Cette évaluation approfondie du sentiment des citoyens à l’égard d</w:t>
      </w:r>
      <w:r w:rsidR="003C2626">
        <w:rPr>
          <w:rFonts w:asciiTheme="minorHAnsi" w:hAnsiTheme="minorHAnsi"/>
        </w:rPr>
        <w:t>u</w:t>
      </w:r>
      <w:r>
        <w:rPr>
          <w:rFonts w:asciiTheme="minorHAnsi" w:hAnsiTheme="minorHAnsi"/>
        </w:rPr>
        <w:t xml:space="preserve"> changement climatique a été menée en partenariat avec la société d’études de marché BVA. La quatrième édition de l’enquête de la BEI sur le climat vise à nourrir le débat général sur les comportements et les attentes en matière d’action en faveur du climat. Plus de 30 000 personnes y ont participé entre le 26 août et le 22 septembre 2021, avec un panel représentatif pour chacun des 30 pays examinés.</w:t>
      </w:r>
    </w:p>
    <w:p w14:paraId="14CA3162" w14:textId="7C34941E" w:rsidR="00766781" w:rsidRDefault="004C6264" w:rsidP="00E44966">
      <w:pPr>
        <w:keepNext/>
        <w:spacing w:after="160" w:line="256" w:lineRule="auto"/>
        <w:ind w:left="567" w:right="1110"/>
        <w:rPr>
          <w:rFonts w:asciiTheme="minorHAnsi" w:eastAsiaTheme="minorHAnsi" w:hAnsiTheme="minorHAnsi" w:cstheme="minorHAnsi"/>
          <w:b/>
        </w:rPr>
      </w:pPr>
      <w:r>
        <w:rPr>
          <w:rFonts w:asciiTheme="minorHAnsi" w:hAnsiTheme="minorHAnsi"/>
          <w:b/>
        </w:rPr>
        <w:lastRenderedPageBreak/>
        <w:t>À propos de la Banque européenne d’investissement</w:t>
      </w:r>
    </w:p>
    <w:p w14:paraId="56FCA3A0" w14:textId="1FFB9CAE" w:rsidR="00E44966" w:rsidRDefault="004C6264" w:rsidP="00E86841">
      <w:pPr>
        <w:spacing w:after="160" w:line="256" w:lineRule="auto"/>
        <w:ind w:left="567" w:right="1110"/>
        <w:rPr>
          <w:rFonts w:asciiTheme="minorHAnsi" w:hAnsiTheme="minorHAnsi" w:cstheme="minorHAnsi"/>
        </w:rPr>
      </w:pPr>
      <w:r>
        <w:rPr>
          <w:rFonts w:asciiTheme="minorHAnsi" w:hAnsiTheme="minorHAnsi"/>
        </w:rPr>
        <w:t>La Banque européenne d’investissement (BEI), dont les actionnaires sont les États membres de l’Union européenne (UE), est l’institution de financement à long terme de l’UE. Elle met à disposition des financements à long terme en faveur d’investissements de qualité qui contribuent à la réalisation des grands objectifs de l’UE en Europe et dans le reste du monde. Active dans près de 160 pays, la BEI est le principal bailleur de fonds multilatéral au monde pour les projets à l’appui de l’action en faveur du climat. Elle a récemment adopté la Feuille de route du Groupe BEI dans son rôle de banque du climat pour l’aider à réaliser son ambitieux programme visant à soutenir la mobilisation de 1 000 milliards d’EUR d’investissements pour l’action en faveur du climat et la durabilité environnementale de 2021 à 2030 et à porter la part des financements qu’elle leur consacre à plus de 50 % d’ici à 2025. Dans le cadre de la Feuille de route, depuis début 2021, toutes les nouvelles opérations du Groupe BEI sont alignées sur les objectifs et principes de l’accord de Paris.</w:t>
      </w:r>
    </w:p>
    <w:p w14:paraId="76DD19DA" w14:textId="489353A4" w:rsidR="004C6264" w:rsidRPr="00DB7E35" w:rsidRDefault="004C6264" w:rsidP="00E86841">
      <w:pPr>
        <w:ind w:left="567" w:right="1110"/>
        <w:rPr>
          <w:rFonts w:asciiTheme="minorHAnsi" w:eastAsia="Times New Roman" w:hAnsiTheme="minorHAnsi" w:cstheme="minorHAnsi"/>
          <w:lang w:eastAsia="en-US"/>
        </w:rPr>
      </w:pPr>
    </w:p>
    <w:p w14:paraId="6A733315" w14:textId="3FBDCB47" w:rsidR="004C6264" w:rsidRDefault="004C6264" w:rsidP="00E86841">
      <w:pPr>
        <w:ind w:left="567" w:right="1110"/>
        <w:rPr>
          <w:rFonts w:asciiTheme="minorHAnsi" w:hAnsiTheme="minorHAnsi" w:cstheme="minorHAnsi"/>
          <w:b/>
        </w:rPr>
      </w:pPr>
      <w:r>
        <w:rPr>
          <w:rFonts w:asciiTheme="minorHAnsi" w:hAnsiTheme="minorHAnsi"/>
          <w:b/>
        </w:rPr>
        <w:t>À propos de BVA</w:t>
      </w:r>
    </w:p>
    <w:p w14:paraId="6F2C458C" w14:textId="77777777" w:rsidR="00766781" w:rsidRPr="00DB7E35" w:rsidRDefault="00766781" w:rsidP="00E86841">
      <w:pPr>
        <w:ind w:left="567" w:right="1110"/>
        <w:rPr>
          <w:rFonts w:asciiTheme="minorHAnsi" w:hAnsiTheme="minorHAnsi" w:cstheme="minorHAnsi"/>
          <w:b/>
        </w:rPr>
      </w:pPr>
    </w:p>
    <w:p w14:paraId="607B9980" w14:textId="77777777" w:rsidR="004C6264" w:rsidRPr="00DB7E35" w:rsidRDefault="004C6264" w:rsidP="00E86841">
      <w:pPr>
        <w:ind w:left="567" w:right="1110"/>
        <w:rPr>
          <w:rFonts w:asciiTheme="minorHAnsi" w:hAnsiTheme="minorHAnsi" w:cstheme="minorHAnsi"/>
        </w:rPr>
      </w:pPr>
      <w:r>
        <w:rPr>
          <w:rFonts w:asciiTheme="minorHAnsi" w:hAnsiTheme="minorHAnsi"/>
        </w:rPr>
        <w:t>BVA est une société d’études et de conseil considérée comme l’une des plus innovantes de son secteur. Spécialisée dans le marketing comportemental, BVA allie sciences des données et sciences humaines pour rendre les données vivantes et inspirantes. BVA est membre du WIN (Worlwide Independent Network of Market Research), un réseau mondial qui regroupe des acteurs parmi les plus importants du secteur des études de marché et des sondages et qui compte plus de 40 membres.</w:t>
      </w:r>
    </w:p>
    <w:p w14:paraId="240FAB2D" w14:textId="77777777" w:rsidR="004C6264" w:rsidRPr="00DB7E35" w:rsidRDefault="004C6264" w:rsidP="00E86841">
      <w:pPr>
        <w:spacing w:line="264" w:lineRule="auto"/>
        <w:ind w:left="567" w:right="1110"/>
        <w:rPr>
          <w:rFonts w:asciiTheme="minorHAnsi" w:hAnsiTheme="minorHAnsi" w:cstheme="minorHAnsi"/>
          <w:szCs w:val="22"/>
        </w:rPr>
      </w:pPr>
    </w:p>
    <w:sectPr w:rsidR="004C6264" w:rsidRPr="00DB7E35" w:rsidSect="00273560">
      <w:headerReference w:type="default" r:id="rId16"/>
      <w:footerReference w:type="default" r:id="rId17"/>
      <w:pgSz w:w="11906" w:h="16838"/>
      <w:pgMar w:top="2127"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D21E9" w16cex:dateUtc="2022-02-07T10:13:00Z"/>
  <w16cex:commentExtensible w16cex:durableId="25AD21EA" w16cex:dateUtc="2022-02-07T1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906DF6" w16cid:durableId="25AD21E9"/>
  <w16cid:commentId w16cid:paraId="52764A21" w16cid:durableId="25AD21E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B6E95" w14:textId="77777777" w:rsidR="00231248" w:rsidRDefault="00231248">
      <w:r>
        <w:separator/>
      </w:r>
    </w:p>
  </w:endnote>
  <w:endnote w:type="continuationSeparator" w:id="0">
    <w:p w14:paraId="0079883D" w14:textId="77777777" w:rsidR="00231248" w:rsidRDefault="00231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45949" w14:textId="7B4D7488" w:rsidR="002B4EB2" w:rsidRPr="00265144" w:rsidRDefault="002B4EB2" w:rsidP="00265144">
    <w:pPr>
      <w:pStyle w:val="Footer"/>
      <w:pBdr>
        <w:top w:val="single" w:sz="4" w:space="1" w:color="auto"/>
      </w:pBdr>
      <w:jc w:val="center"/>
      <w:rPr>
        <w:sz w:val="20"/>
        <w:szCs w:val="20"/>
      </w:rPr>
    </w:pPr>
    <w:r w:rsidRPr="00265144">
      <w:rPr>
        <w:rStyle w:val="PageNumber"/>
        <w:sz w:val="20"/>
      </w:rPr>
      <w:fldChar w:fldCharType="begin"/>
    </w:r>
    <w:r w:rsidRPr="00265144">
      <w:rPr>
        <w:rStyle w:val="PageNumber"/>
        <w:sz w:val="20"/>
      </w:rPr>
      <w:instrText xml:space="preserve"> PAGE </w:instrText>
    </w:r>
    <w:r w:rsidRPr="00265144">
      <w:rPr>
        <w:rStyle w:val="PageNumber"/>
        <w:sz w:val="20"/>
      </w:rPr>
      <w:fldChar w:fldCharType="separate"/>
    </w:r>
    <w:r w:rsidR="00431839">
      <w:rPr>
        <w:rStyle w:val="PageNumber"/>
        <w:noProof/>
        <w:sz w:val="20"/>
      </w:rPr>
      <w:t>4</w:t>
    </w:r>
    <w:r w:rsidRPr="00265144">
      <w:rPr>
        <w:rStyle w:val="PageNumber"/>
        <w:sz w:val="20"/>
      </w:rPr>
      <w:fldChar w:fldCharType="end"/>
    </w:r>
    <w:r>
      <w:rPr>
        <w:rStyle w:val="PageNumber"/>
        <w:sz w:val="20"/>
      </w:rPr>
      <w:t>/</w:t>
    </w:r>
    <w:r w:rsidRPr="00265144">
      <w:rPr>
        <w:rStyle w:val="PageNumber"/>
        <w:sz w:val="20"/>
      </w:rPr>
      <w:fldChar w:fldCharType="begin"/>
    </w:r>
    <w:r w:rsidRPr="00265144">
      <w:rPr>
        <w:rStyle w:val="PageNumber"/>
        <w:sz w:val="20"/>
      </w:rPr>
      <w:instrText xml:space="preserve"> NUMPAGES </w:instrText>
    </w:r>
    <w:r w:rsidRPr="00265144">
      <w:rPr>
        <w:rStyle w:val="PageNumber"/>
        <w:sz w:val="20"/>
      </w:rPr>
      <w:fldChar w:fldCharType="separate"/>
    </w:r>
    <w:r w:rsidR="00431839">
      <w:rPr>
        <w:rStyle w:val="PageNumber"/>
        <w:noProof/>
        <w:sz w:val="20"/>
      </w:rPr>
      <w:t>5</w:t>
    </w:r>
    <w:r w:rsidRPr="00265144">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33BC6" w14:textId="77777777" w:rsidR="00231248" w:rsidRDefault="00231248">
      <w:r>
        <w:separator/>
      </w:r>
    </w:p>
  </w:footnote>
  <w:footnote w:type="continuationSeparator" w:id="0">
    <w:p w14:paraId="4E9E7678" w14:textId="77777777" w:rsidR="00231248" w:rsidRDefault="00231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BF971" w14:textId="4A589192" w:rsidR="000331F4" w:rsidRDefault="00726AA6" w:rsidP="000331F4">
    <w:pPr>
      <w:pStyle w:val="Header"/>
      <w:tabs>
        <w:tab w:val="clear" w:pos="9072"/>
        <w:tab w:val="right" w:pos="10348"/>
      </w:tabs>
    </w:pPr>
    <w:r>
      <w:rPr>
        <w:rFonts w:ascii="Calibri" w:hAnsi="Calibri" w:cs="Calibri"/>
        <w:noProof/>
        <w:color w:val="1F497D"/>
        <w:szCs w:val="22"/>
        <w:lang w:val="en-US" w:eastAsia="en-US"/>
      </w:rPr>
      <w:drawing>
        <wp:inline distT="0" distB="0" distL="0" distR="0" wp14:anchorId="0D37192B" wp14:editId="755E9716">
          <wp:extent cx="1405956" cy="629310"/>
          <wp:effectExtent l="0" t="0" r="3810" b="0"/>
          <wp:docPr id="1" name="Picture 1" descr="cid:image001.jpg@01D6D1F3.8B9A4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6D1F3.8B9A46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60099" cy="653544"/>
                  </a:xfrm>
                  <a:prstGeom prst="rect">
                    <a:avLst/>
                  </a:prstGeom>
                  <a:noFill/>
                  <a:ln>
                    <a:noFill/>
                  </a:ln>
                </pic:spPr>
              </pic:pic>
            </a:graphicData>
          </a:graphic>
        </wp:inline>
      </w:drawing>
    </w:r>
    <w:r w:rsidR="00853A25">
      <w:tab/>
    </w:r>
    <w:r w:rsidR="00853A25">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6FA3"/>
    <w:multiLevelType w:val="hybridMultilevel"/>
    <w:tmpl w:val="3AC6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00C4F"/>
    <w:multiLevelType w:val="hybridMultilevel"/>
    <w:tmpl w:val="B6BA9EBA"/>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2" w15:restartNumberingAfterBreak="0">
    <w:nsid w:val="26A5530D"/>
    <w:multiLevelType w:val="hybridMultilevel"/>
    <w:tmpl w:val="B7524C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177F49"/>
    <w:multiLevelType w:val="hybridMultilevel"/>
    <w:tmpl w:val="CA303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330FBA"/>
    <w:multiLevelType w:val="hybridMultilevel"/>
    <w:tmpl w:val="2F6EF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793B32"/>
    <w:multiLevelType w:val="hybridMultilevel"/>
    <w:tmpl w:val="764A5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8760BF"/>
    <w:multiLevelType w:val="hybridMultilevel"/>
    <w:tmpl w:val="0512C888"/>
    <w:lvl w:ilvl="0" w:tplc="73843066">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5F40D7"/>
    <w:multiLevelType w:val="hybridMultilevel"/>
    <w:tmpl w:val="5A0868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835086"/>
    <w:multiLevelType w:val="hybridMultilevel"/>
    <w:tmpl w:val="783E43E6"/>
    <w:lvl w:ilvl="0" w:tplc="6B0C4B62">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8607DE"/>
    <w:multiLevelType w:val="hybridMultilevel"/>
    <w:tmpl w:val="13F06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DF65C7"/>
    <w:multiLevelType w:val="hybridMultilevel"/>
    <w:tmpl w:val="82C8A8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CBD6EF8"/>
    <w:multiLevelType w:val="hybridMultilevel"/>
    <w:tmpl w:val="D2AEEA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413131"/>
    <w:multiLevelType w:val="hybridMultilevel"/>
    <w:tmpl w:val="FE34C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23D6902"/>
    <w:multiLevelType w:val="hybridMultilevel"/>
    <w:tmpl w:val="1732615E"/>
    <w:lvl w:ilvl="0" w:tplc="86B087AA">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1"/>
  </w:num>
  <w:num w:numId="4">
    <w:abstractNumId w:val="13"/>
  </w:num>
  <w:num w:numId="5">
    <w:abstractNumId w:val="5"/>
  </w:num>
  <w:num w:numId="6">
    <w:abstractNumId w:val="7"/>
  </w:num>
  <w:num w:numId="7">
    <w:abstractNumId w:val="8"/>
  </w:num>
  <w:num w:numId="8">
    <w:abstractNumId w:val="10"/>
  </w:num>
  <w:num w:numId="9">
    <w:abstractNumId w:val="1"/>
  </w:num>
  <w:num w:numId="10">
    <w:abstractNumId w:val="4"/>
  </w:num>
  <w:num w:numId="11">
    <w:abstractNumId w:val="2"/>
  </w:num>
  <w:num w:numId="12">
    <w:abstractNumId w:val="6"/>
  </w:num>
  <w:num w:numId="13">
    <w:abstractNumId w:val="3"/>
  </w:num>
  <w:num w:numId="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3CD"/>
    <w:rsid w:val="00000CEB"/>
    <w:rsid w:val="0000104D"/>
    <w:rsid w:val="00001E71"/>
    <w:rsid w:val="00004D2D"/>
    <w:rsid w:val="0000658B"/>
    <w:rsid w:val="00006C73"/>
    <w:rsid w:val="00012677"/>
    <w:rsid w:val="000144D1"/>
    <w:rsid w:val="00017A4B"/>
    <w:rsid w:val="000244F5"/>
    <w:rsid w:val="000260E1"/>
    <w:rsid w:val="00026AAB"/>
    <w:rsid w:val="000276CB"/>
    <w:rsid w:val="00031663"/>
    <w:rsid w:val="00032AFD"/>
    <w:rsid w:val="00033089"/>
    <w:rsid w:val="000331F4"/>
    <w:rsid w:val="0003489D"/>
    <w:rsid w:val="000359C0"/>
    <w:rsid w:val="00037BC9"/>
    <w:rsid w:val="00040863"/>
    <w:rsid w:val="00044145"/>
    <w:rsid w:val="0004580A"/>
    <w:rsid w:val="00045C3E"/>
    <w:rsid w:val="00047A17"/>
    <w:rsid w:val="0005067F"/>
    <w:rsid w:val="0005106D"/>
    <w:rsid w:val="0007351E"/>
    <w:rsid w:val="00073D59"/>
    <w:rsid w:val="00074AC8"/>
    <w:rsid w:val="0007650A"/>
    <w:rsid w:val="00081805"/>
    <w:rsid w:val="00084BE1"/>
    <w:rsid w:val="00085ACD"/>
    <w:rsid w:val="000922EC"/>
    <w:rsid w:val="00094D07"/>
    <w:rsid w:val="000A18F4"/>
    <w:rsid w:val="000A203A"/>
    <w:rsid w:val="000A396C"/>
    <w:rsid w:val="000A59CF"/>
    <w:rsid w:val="000A7F7C"/>
    <w:rsid w:val="000B0413"/>
    <w:rsid w:val="000B4FB8"/>
    <w:rsid w:val="000B637D"/>
    <w:rsid w:val="000B7218"/>
    <w:rsid w:val="000C0442"/>
    <w:rsid w:val="000C3DD7"/>
    <w:rsid w:val="000C4994"/>
    <w:rsid w:val="000C66A0"/>
    <w:rsid w:val="000D22CB"/>
    <w:rsid w:val="000D28BD"/>
    <w:rsid w:val="000D2B1B"/>
    <w:rsid w:val="000D4449"/>
    <w:rsid w:val="000D47D9"/>
    <w:rsid w:val="000D5015"/>
    <w:rsid w:val="000D6CA5"/>
    <w:rsid w:val="000D6F62"/>
    <w:rsid w:val="000E2241"/>
    <w:rsid w:val="000E2850"/>
    <w:rsid w:val="000F0DBC"/>
    <w:rsid w:val="000F4A32"/>
    <w:rsid w:val="000F532C"/>
    <w:rsid w:val="000F54A8"/>
    <w:rsid w:val="001012D7"/>
    <w:rsid w:val="00101422"/>
    <w:rsid w:val="00102020"/>
    <w:rsid w:val="00106C7D"/>
    <w:rsid w:val="0011192F"/>
    <w:rsid w:val="00115AF2"/>
    <w:rsid w:val="001171BF"/>
    <w:rsid w:val="001179E5"/>
    <w:rsid w:val="0012030D"/>
    <w:rsid w:val="00120777"/>
    <w:rsid w:val="00124D96"/>
    <w:rsid w:val="00124DBC"/>
    <w:rsid w:val="00127346"/>
    <w:rsid w:val="00127A08"/>
    <w:rsid w:val="0013337E"/>
    <w:rsid w:val="001369DF"/>
    <w:rsid w:val="00140A7E"/>
    <w:rsid w:val="00141C5A"/>
    <w:rsid w:val="00144E14"/>
    <w:rsid w:val="00147A43"/>
    <w:rsid w:val="001508AD"/>
    <w:rsid w:val="00151B1C"/>
    <w:rsid w:val="00161C1B"/>
    <w:rsid w:val="00162E7A"/>
    <w:rsid w:val="00163198"/>
    <w:rsid w:val="00167217"/>
    <w:rsid w:val="00170254"/>
    <w:rsid w:val="001775A7"/>
    <w:rsid w:val="00177D80"/>
    <w:rsid w:val="00177EF5"/>
    <w:rsid w:val="00177F7B"/>
    <w:rsid w:val="00180116"/>
    <w:rsid w:val="001802A6"/>
    <w:rsid w:val="00182E65"/>
    <w:rsid w:val="001900BE"/>
    <w:rsid w:val="00190BA1"/>
    <w:rsid w:val="00190E42"/>
    <w:rsid w:val="001916BA"/>
    <w:rsid w:val="00191F45"/>
    <w:rsid w:val="001A0D77"/>
    <w:rsid w:val="001A39D0"/>
    <w:rsid w:val="001A3A80"/>
    <w:rsid w:val="001A3E26"/>
    <w:rsid w:val="001A60B8"/>
    <w:rsid w:val="001A757B"/>
    <w:rsid w:val="001A7AB2"/>
    <w:rsid w:val="001A7BAC"/>
    <w:rsid w:val="001B0E23"/>
    <w:rsid w:val="001B1727"/>
    <w:rsid w:val="001B3A0A"/>
    <w:rsid w:val="001B3FDA"/>
    <w:rsid w:val="001B5912"/>
    <w:rsid w:val="001C0EC3"/>
    <w:rsid w:val="001D0560"/>
    <w:rsid w:val="001D082B"/>
    <w:rsid w:val="001D3C1C"/>
    <w:rsid w:val="001D464A"/>
    <w:rsid w:val="001D673F"/>
    <w:rsid w:val="001E1709"/>
    <w:rsid w:val="001E17E9"/>
    <w:rsid w:val="001E4079"/>
    <w:rsid w:val="001E5543"/>
    <w:rsid w:val="001E7B13"/>
    <w:rsid w:val="001F09C4"/>
    <w:rsid w:val="001F2BB0"/>
    <w:rsid w:val="001F53B8"/>
    <w:rsid w:val="001F7389"/>
    <w:rsid w:val="00201402"/>
    <w:rsid w:val="002113BD"/>
    <w:rsid w:val="002156C2"/>
    <w:rsid w:val="00215FEF"/>
    <w:rsid w:val="00222DBD"/>
    <w:rsid w:val="00224E0D"/>
    <w:rsid w:val="00230713"/>
    <w:rsid w:val="00231248"/>
    <w:rsid w:val="00231409"/>
    <w:rsid w:val="002362DF"/>
    <w:rsid w:val="0024278B"/>
    <w:rsid w:val="002479E2"/>
    <w:rsid w:val="00251420"/>
    <w:rsid w:val="00252A22"/>
    <w:rsid w:val="0025355A"/>
    <w:rsid w:val="0025564C"/>
    <w:rsid w:val="00255929"/>
    <w:rsid w:val="00255B35"/>
    <w:rsid w:val="002562D6"/>
    <w:rsid w:val="00256B1F"/>
    <w:rsid w:val="00265144"/>
    <w:rsid w:val="00266DAB"/>
    <w:rsid w:val="00267236"/>
    <w:rsid w:val="00270660"/>
    <w:rsid w:val="00273560"/>
    <w:rsid w:val="00273E1F"/>
    <w:rsid w:val="00276645"/>
    <w:rsid w:val="0028226F"/>
    <w:rsid w:val="002829D9"/>
    <w:rsid w:val="002830B3"/>
    <w:rsid w:val="002844B0"/>
    <w:rsid w:val="00284D9B"/>
    <w:rsid w:val="00286E7A"/>
    <w:rsid w:val="00287A98"/>
    <w:rsid w:val="002929BA"/>
    <w:rsid w:val="00293008"/>
    <w:rsid w:val="002975AA"/>
    <w:rsid w:val="002A0F5A"/>
    <w:rsid w:val="002A21AF"/>
    <w:rsid w:val="002A51BF"/>
    <w:rsid w:val="002A52B3"/>
    <w:rsid w:val="002B4EB2"/>
    <w:rsid w:val="002B58D8"/>
    <w:rsid w:val="002C112C"/>
    <w:rsid w:val="002C4AC1"/>
    <w:rsid w:val="002C4ADC"/>
    <w:rsid w:val="002C4D54"/>
    <w:rsid w:val="002C51B6"/>
    <w:rsid w:val="002C57FF"/>
    <w:rsid w:val="002C627A"/>
    <w:rsid w:val="002C7055"/>
    <w:rsid w:val="002D0C60"/>
    <w:rsid w:val="002D4A71"/>
    <w:rsid w:val="002D679E"/>
    <w:rsid w:val="002F21CD"/>
    <w:rsid w:val="002F329D"/>
    <w:rsid w:val="002F4A96"/>
    <w:rsid w:val="002F5C35"/>
    <w:rsid w:val="00301F2A"/>
    <w:rsid w:val="00307968"/>
    <w:rsid w:val="003134B7"/>
    <w:rsid w:val="00315042"/>
    <w:rsid w:val="00315D1B"/>
    <w:rsid w:val="00325545"/>
    <w:rsid w:val="0032558A"/>
    <w:rsid w:val="00325707"/>
    <w:rsid w:val="00326EDF"/>
    <w:rsid w:val="00330404"/>
    <w:rsid w:val="00330600"/>
    <w:rsid w:val="00335A3D"/>
    <w:rsid w:val="00335E1A"/>
    <w:rsid w:val="003366F2"/>
    <w:rsid w:val="00340146"/>
    <w:rsid w:val="0034512B"/>
    <w:rsid w:val="00350EA9"/>
    <w:rsid w:val="003521F6"/>
    <w:rsid w:val="00352279"/>
    <w:rsid w:val="0035489C"/>
    <w:rsid w:val="003641ED"/>
    <w:rsid w:val="00364A75"/>
    <w:rsid w:val="003650E1"/>
    <w:rsid w:val="00365923"/>
    <w:rsid w:val="00370F67"/>
    <w:rsid w:val="00372769"/>
    <w:rsid w:val="0038049B"/>
    <w:rsid w:val="00381142"/>
    <w:rsid w:val="003917DD"/>
    <w:rsid w:val="00392A14"/>
    <w:rsid w:val="00393C1D"/>
    <w:rsid w:val="00394D1A"/>
    <w:rsid w:val="00397562"/>
    <w:rsid w:val="003A7CC5"/>
    <w:rsid w:val="003B46AF"/>
    <w:rsid w:val="003B5824"/>
    <w:rsid w:val="003B5FA7"/>
    <w:rsid w:val="003B72EB"/>
    <w:rsid w:val="003C235A"/>
    <w:rsid w:val="003C2626"/>
    <w:rsid w:val="003C5353"/>
    <w:rsid w:val="003C56D0"/>
    <w:rsid w:val="003C6E8E"/>
    <w:rsid w:val="003C7BA2"/>
    <w:rsid w:val="003C7EB8"/>
    <w:rsid w:val="003D2A7D"/>
    <w:rsid w:val="003D5AB8"/>
    <w:rsid w:val="003E293C"/>
    <w:rsid w:val="003E3E55"/>
    <w:rsid w:val="003E519F"/>
    <w:rsid w:val="003E6F1B"/>
    <w:rsid w:val="003F1C56"/>
    <w:rsid w:val="003F4620"/>
    <w:rsid w:val="003F4C48"/>
    <w:rsid w:val="00401756"/>
    <w:rsid w:val="004050B7"/>
    <w:rsid w:val="00405725"/>
    <w:rsid w:val="00406A1C"/>
    <w:rsid w:val="00410F08"/>
    <w:rsid w:val="00411751"/>
    <w:rsid w:val="00411A8C"/>
    <w:rsid w:val="00411F2E"/>
    <w:rsid w:val="0041271E"/>
    <w:rsid w:val="00412A97"/>
    <w:rsid w:val="00415015"/>
    <w:rsid w:val="00424645"/>
    <w:rsid w:val="00431839"/>
    <w:rsid w:val="00431948"/>
    <w:rsid w:val="004346D5"/>
    <w:rsid w:val="00435FC7"/>
    <w:rsid w:val="00436782"/>
    <w:rsid w:val="00436F81"/>
    <w:rsid w:val="0043713D"/>
    <w:rsid w:val="004373F4"/>
    <w:rsid w:val="00440A69"/>
    <w:rsid w:val="00441CE6"/>
    <w:rsid w:val="00444C70"/>
    <w:rsid w:val="004457E1"/>
    <w:rsid w:val="00445B39"/>
    <w:rsid w:val="004511A4"/>
    <w:rsid w:val="00453781"/>
    <w:rsid w:val="00455703"/>
    <w:rsid w:val="00461039"/>
    <w:rsid w:val="00461705"/>
    <w:rsid w:val="00463B30"/>
    <w:rsid w:val="00465C2D"/>
    <w:rsid w:val="0046657D"/>
    <w:rsid w:val="00471C6B"/>
    <w:rsid w:val="00471E0C"/>
    <w:rsid w:val="0047275D"/>
    <w:rsid w:val="00472ED5"/>
    <w:rsid w:val="0047300D"/>
    <w:rsid w:val="00473501"/>
    <w:rsid w:val="00474C40"/>
    <w:rsid w:val="00483500"/>
    <w:rsid w:val="00483824"/>
    <w:rsid w:val="004839E1"/>
    <w:rsid w:val="004847B7"/>
    <w:rsid w:val="00486853"/>
    <w:rsid w:val="00487D20"/>
    <w:rsid w:val="00490E3F"/>
    <w:rsid w:val="00492761"/>
    <w:rsid w:val="00494752"/>
    <w:rsid w:val="004975F4"/>
    <w:rsid w:val="004A32AD"/>
    <w:rsid w:val="004A4CE0"/>
    <w:rsid w:val="004A773D"/>
    <w:rsid w:val="004B252F"/>
    <w:rsid w:val="004B5334"/>
    <w:rsid w:val="004B53F2"/>
    <w:rsid w:val="004B5E8C"/>
    <w:rsid w:val="004C2F79"/>
    <w:rsid w:val="004C43D4"/>
    <w:rsid w:val="004C6264"/>
    <w:rsid w:val="004C63F4"/>
    <w:rsid w:val="004C6E55"/>
    <w:rsid w:val="004C753F"/>
    <w:rsid w:val="004D1322"/>
    <w:rsid w:val="004D1399"/>
    <w:rsid w:val="004D19D1"/>
    <w:rsid w:val="004D5FAD"/>
    <w:rsid w:val="004E17E2"/>
    <w:rsid w:val="004E29FE"/>
    <w:rsid w:val="004E3F5A"/>
    <w:rsid w:val="004E44D7"/>
    <w:rsid w:val="004E7B0A"/>
    <w:rsid w:val="004F0342"/>
    <w:rsid w:val="004F123D"/>
    <w:rsid w:val="004F162F"/>
    <w:rsid w:val="004F1ED0"/>
    <w:rsid w:val="004F5B21"/>
    <w:rsid w:val="004F65AB"/>
    <w:rsid w:val="005018D9"/>
    <w:rsid w:val="00501CD4"/>
    <w:rsid w:val="005040D6"/>
    <w:rsid w:val="005066DB"/>
    <w:rsid w:val="00511F5F"/>
    <w:rsid w:val="0051291C"/>
    <w:rsid w:val="005142FE"/>
    <w:rsid w:val="00517CAB"/>
    <w:rsid w:val="0052074B"/>
    <w:rsid w:val="005219B2"/>
    <w:rsid w:val="00522236"/>
    <w:rsid w:val="0052392A"/>
    <w:rsid w:val="0053021E"/>
    <w:rsid w:val="005303A5"/>
    <w:rsid w:val="00532F81"/>
    <w:rsid w:val="005330C5"/>
    <w:rsid w:val="0053560B"/>
    <w:rsid w:val="00535C41"/>
    <w:rsid w:val="005404E2"/>
    <w:rsid w:val="005436A3"/>
    <w:rsid w:val="0054645C"/>
    <w:rsid w:val="00550170"/>
    <w:rsid w:val="00554B9F"/>
    <w:rsid w:val="00557C89"/>
    <w:rsid w:val="00562C48"/>
    <w:rsid w:val="00564643"/>
    <w:rsid w:val="00567740"/>
    <w:rsid w:val="00567C30"/>
    <w:rsid w:val="00573200"/>
    <w:rsid w:val="005741F9"/>
    <w:rsid w:val="00574E14"/>
    <w:rsid w:val="0057538E"/>
    <w:rsid w:val="0057593E"/>
    <w:rsid w:val="00577676"/>
    <w:rsid w:val="00577994"/>
    <w:rsid w:val="0058104A"/>
    <w:rsid w:val="00582A6A"/>
    <w:rsid w:val="00590887"/>
    <w:rsid w:val="005961CF"/>
    <w:rsid w:val="005A07BD"/>
    <w:rsid w:val="005A1243"/>
    <w:rsid w:val="005A3003"/>
    <w:rsid w:val="005A51C4"/>
    <w:rsid w:val="005A5889"/>
    <w:rsid w:val="005B2C3F"/>
    <w:rsid w:val="005B3318"/>
    <w:rsid w:val="005B7633"/>
    <w:rsid w:val="005C259F"/>
    <w:rsid w:val="005C46F0"/>
    <w:rsid w:val="005C5733"/>
    <w:rsid w:val="005D0A69"/>
    <w:rsid w:val="005D2318"/>
    <w:rsid w:val="005D43E2"/>
    <w:rsid w:val="005D6CB4"/>
    <w:rsid w:val="005E1935"/>
    <w:rsid w:val="005E2D6C"/>
    <w:rsid w:val="005E711C"/>
    <w:rsid w:val="005F26F5"/>
    <w:rsid w:val="005F3658"/>
    <w:rsid w:val="005F51CB"/>
    <w:rsid w:val="005F76B3"/>
    <w:rsid w:val="005F7B12"/>
    <w:rsid w:val="00600711"/>
    <w:rsid w:val="006018F3"/>
    <w:rsid w:val="006056BD"/>
    <w:rsid w:val="00610FD2"/>
    <w:rsid w:val="0061354C"/>
    <w:rsid w:val="006174B1"/>
    <w:rsid w:val="006228E4"/>
    <w:rsid w:val="006231D5"/>
    <w:rsid w:val="0062533B"/>
    <w:rsid w:val="006276B1"/>
    <w:rsid w:val="00630AD6"/>
    <w:rsid w:val="006317DC"/>
    <w:rsid w:val="00631844"/>
    <w:rsid w:val="006318C8"/>
    <w:rsid w:val="006331D5"/>
    <w:rsid w:val="00633C0C"/>
    <w:rsid w:val="00636228"/>
    <w:rsid w:val="00636A1A"/>
    <w:rsid w:val="00640C35"/>
    <w:rsid w:val="00651CC9"/>
    <w:rsid w:val="00653545"/>
    <w:rsid w:val="00653728"/>
    <w:rsid w:val="006545FF"/>
    <w:rsid w:val="0065502E"/>
    <w:rsid w:val="006551C6"/>
    <w:rsid w:val="006551F7"/>
    <w:rsid w:val="006564FF"/>
    <w:rsid w:val="006567B6"/>
    <w:rsid w:val="00657013"/>
    <w:rsid w:val="00657107"/>
    <w:rsid w:val="00664954"/>
    <w:rsid w:val="006660A5"/>
    <w:rsid w:val="006770C3"/>
    <w:rsid w:val="0068098C"/>
    <w:rsid w:val="0068632D"/>
    <w:rsid w:val="00693930"/>
    <w:rsid w:val="00693FFE"/>
    <w:rsid w:val="0069777A"/>
    <w:rsid w:val="006A387B"/>
    <w:rsid w:val="006B04AD"/>
    <w:rsid w:val="006B51FE"/>
    <w:rsid w:val="006C297B"/>
    <w:rsid w:val="006C6E20"/>
    <w:rsid w:val="006D3DAD"/>
    <w:rsid w:val="006E259C"/>
    <w:rsid w:val="006E287B"/>
    <w:rsid w:val="006E3CC9"/>
    <w:rsid w:val="006F18D0"/>
    <w:rsid w:val="006F4431"/>
    <w:rsid w:val="006F5454"/>
    <w:rsid w:val="006F57F6"/>
    <w:rsid w:val="006F6294"/>
    <w:rsid w:val="006F7BE1"/>
    <w:rsid w:val="00705ED7"/>
    <w:rsid w:val="00706227"/>
    <w:rsid w:val="007068C6"/>
    <w:rsid w:val="007070C8"/>
    <w:rsid w:val="0070712D"/>
    <w:rsid w:val="00707CB0"/>
    <w:rsid w:val="00710B2A"/>
    <w:rsid w:val="00712C2D"/>
    <w:rsid w:val="00712DE2"/>
    <w:rsid w:val="00714001"/>
    <w:rsid w:val="0071661D"/>
    <w:rsid w:val="00716739"/>
    <w:rsid w:val="00717418"/>
    <w:rsid w:val="007203E9"/>
    <w:rsid w:val="00721002"/>
    <w:rsid w:val="00721588"/>
    <w:rsid w:val="007226EE"/>
    <w:rsid w:val="00722A6B"/>
    <w:rsid w:val="0072419C"/>
    <w:rsid w:val="00724D9D"/>
    <w:rsid w:val="00726AA6"/>
    <w:rsid w:val="00726FA6"/>
    <w:rsid w:val="00731A45"/>
    <w:rsid w:val="00732DD9"/>
    <w:rsid w:val="00736FFC"/>
    <w:rsid w:val="00740C8F"/>
    <w:rsid w:val="00743AB3"/>
    <w:rsid w:val="00745D2B"/>
    <w:rsid w:val="007467E0"/>
    <w:rsid w:val="00750B9F"/>
    <w:rsid w:val="00756489"/>
    <w:rsid w:val="0075673B"/>
    <w:rsid w:val="00757457"/>
    <w:rsid w:val="00757560"/>
    <w:rsid w:val="00760B0B"/>
    <w:rsid w:val="00761FD8"/>
    <w:rsid w:val="00762442"/>
    <w:rsid w:val="00762ED6"/>
    <w:rsid w:val="00766781"/>
    <w:rsid w:val="00767B8F"/>
    <w:rsid w:val="0077028B"/>
    <w:rsid w:val="00772F12"/>
    <w:rsid w:val="00773D1A"/>
    <w:rsid w:val="0078176E"/>
    <w:rsid w:val="00784B56"/>
    <w:rsid w:val="00785F04"/>
    <w:rsid w:val="00786284"/>
    <w:rsid w:val="00790C50"/>
    <w:rsid w:val="0079503D"/>
    <w:rsid w:val="007A0D1D"/>
    <w:rsid w:val="007A4AE1"/>
    <w:rsid w:val="007A5D5C"/>
    <w:rsid w:val="007B0563"/>
    <w:rsid w:val="007B200A"/>
    <w:rsid w:val="007B448C"/>
    <w:rsid w:val="007B5DE5"/>
    <w:rsid w:val="007B7D29"/>
    <w:rsid w:val="007B7FFE"/>
    <w:rsid w:val="007C4537"/>
    <w:rsid w:val="007C57BF"/>
    <w:rsid w:val="007D075D"/>
    <w:rsid w:val="007D4A3E"/>
    <w:rsid w:val="007E023A"/>
    <w:rsid w:val="007E0284"/>
    <w:rsid w:val="007E1087"/>
    <w:rsid w:val="007E64CB"/>
    <w:rsid w:val="007E6AA4"/>
    <w:rsid w:val="007E752D"/>
    <w:rsid w:val="007F1521"/>
    <w:rsid w:val="007F3FFD"/>
    <w:rsid w:val="007F446D"/>
    <w:rsid w:val="007F4F66"/>
    <w:rsid w:val="007F542A"/>
    <w:rsid w:val="007F5798"/>
    <w:rsid w:val="0080237D"/>
    <w:rsid w:val="00802600"/>
    <w:rsid w:val="00804E65"/>
    <w:rsid w:val="00806C1D"/>
    <w:rsid w:val="008078D9"/>
    <w:rsid w:val="008102BC"/>
    <w:rsid w:val="00811311"/>
    <w:rsid w:val="00815173"/>
    <w:rsid w:val="0082194B"/>
    <w:rsid w:val="0082195A"/>
    <w:rsid w:val="00822137"/>
    <w:rsid w:val="00822EB6"/>
    <w:rsid w:val="00825437"/>
    <w:rsid w:val="00827C49"/>
    <w:rsid w:val="00835BB9"/>
    <w:rsid w:val="00835F53"/>
    <w:rsid w:val="0083612B"/>
    <w:rsid w:val="00840149"/>
    <w:rsid w:val="008424A3"/>
    <w:rsid w:val="00843221"/>
    <w:rsid w:val="00846DF1"/>
    <w:rsid w:val="00850C7D"/>
    <w:rsid w:val="00851DF3"/>
    <w:rsid w:val="00853A25"/>
    <w:rsid w:val="00853B16"/>
    <w:rsid w:val="00853DA5"/>
    <w:rsid w:val="00855C02"/>
    <w:rsid w:val="00857356"/>
    <w:rsid w:val="00863191"/>
    <w:rsid w:val="00863338"/>
    <w:rsid w:val="00863EAC"/>
    <w:rsid w:val="008645F4"/>
    <w:rsid w:val="00866FF9"/>
    <w:rsid w:val="008721C9"/>
    <w:rsid w:val="00875C0F"/>
    <w:rsid w:val="00876318"/>
    <w:rsid w:val="0088390A"/>
    <w:rsid w:val="008858CF"/>
    <w:rsid w:val="00886B10"/>
    <w:rsid w:val="00891651"/>
    <w:rsid w:val="008A0BBD"/>
    <w:rsid w:val="008A14C6"/>
    <w:rsid w:val="008B0CF3"/>
    <w:rsid w:val="008B556B"/>
    <w:rsid w:val="008C0455"/>
    <w:rsid w:val="008C2E18"/>
    <w:rsid w:val="008C3574"/>
    <w:rsid w:val="008D524A"/>
    <w:rsid w:val="008E35EA"/>
    <w:rsid w:val="008E3DAF"/>
    <w:rsid w:val="008E3F86"/>
    <w:rsid w:val="008E6846"/>
    <w:rsid w:val="008E7196"/>
    <w:rsid w:val="008E7503"/>
    <w:rsid w:val="008F1FC5"/>
    <w:rsid w:val="008F34BF"/>
    <w:rsid w:val="008F4C3F"/>
    <w:rsid w:val="0090017E"/>
    <w:rsid w:val="009012FB"/>
    <w:rsid w:val="00903649"/>
    <w:rsid w:val="00905A5D"/>
    <w:rsid w:val="009061B7"/>
    <w:rsid w:val="00906404"/>
    <w:rsid w:val="00907337"/>
    <w:rsid w:val="009108F5"/>
    <w:rsid w:val="00910B66"/>
    <w:rsid w:val="00911D34"/>
    <w:rsid w:val="00911DCF"/>
    <w:rsid w:val="009130A4"/>
    <w:rsid w:val="0091357B"/>
    <w:rsid w:val="00914B92"/>
    <w:rsid w:val="00915468"/>
    <w:rsid w:val="009162F3"/>
    <w:rsid w:val="00916D81"/>
    <w:rsid w:val="00920759"/>
    <w:rsid w:val="00921402"/>
    <w:rsid w:val="00925AF8"/>
    <w:rsid w:val="00927FC1"/>
    <w:rsid w:val="00931A71"/>
    <w:rsid w:val="00931F32"/>
    <w:rsid w:val="0093250B"/>
    <w:rsid w:val="00934FAA"/>
    <w:rsid w:val="009409F7"/>
    <w:rsid w:val="00944116"/>
    <w:rsid w:val="009442FF"/>
    <w:rsid w:val="00944B8A"/>
    <w:rsid w:val="00944BFA"/>
    <w:rsid w:val="00950FF5"/>
    <w:rsid w:val="00952E05"/>
    <w:rsid w:val="009550F1"/>
    <w:rsid w:val="0095538C"/>
    <w:rsid w:val="009555CB"/>
    <w:rsid w:val="00956C7D"/>
    <w:rsid w:val="00961E7F"/>
    <w:rsid w:val="00967539"/>
    <w:rsid w:val="0097056E"/>
    <w:rsid w:val="009739FE"/>
    <w:rsid w:val="0097565E"/>
    <w:rsid w:val="00975C85"/>
    <w:rsid w:val="00977D0E"/>
    <w:rsid w:val="0098161F"/>
    <w:rsid w:val="00982158"/>
    <w:rsid w:val="009854CF"/>
    <w:rsid w:val="00987681"/>
    <w:rsid w:val="009931AF"/>
    <w:rsid w:val="00993A4B"/>
    <w:rsid w:val="009957B6"/>
    <w:rsid w:val="009A0D4A"/>
    <w:rsid w:val="009A2692"/>
    <w:rsid w:val="009A3F2A"/>
    <w:rsid w:val="009A4263"/>
    <w:rsid w:val="009A6D3D"/>
    <w:rsid w:val="009B1541"/>
    <w:rsid w:val="009B2EF0"/>
    <w:rsid w:val="009B341B"/>
    <w:rsid w:val="009C4A53"/>
    <w:rsid w:val="009C54C9"/>
    <w:rsid w:val="009C5545"/>
    <w:rsid w:val="009C58C7"/>
    <w:rsid w:val="009C5E9D"/>
    <w:rsid w:val="009C677B"/>
    <w:rsid w:val="009C6C1C"/>
    <w:rsid w:val="009D04D5"/>
    <w:rsid w:val="009E39D3"/>
    <w:rsid w:val="009F3EB4"/>
    <w:rsid w:val="009F3EF6"/>
    <w:rsid w:val="009F4C8E"/>
    <w:rsid w:val="009F6579"/>
    <w:rsid w:val="009F6AFF"/>
    <w:rsid w:val="009F7FEB"/>
    <w:rsid w:val="00A00900"/>
    <w:rsid w:val="00A02F5F"/>
    <w:rsid w:val="00A0421A"/>
    <w:rsid w:val="00A050B7"/>
    <w:rsid w:val="00A133DD"/>
    <w:rsid w:val="00A14BE1"/>
    <w:rsid w:val="00A14D4E"/>
    <w:rsid w:val="00A15A9C"/>
    <w:rsid w:val="00A15F3E"/>
    <w:rsid w:val="00A1701E"/>
    <w:rsid w:val="00A20FCE"/>
    <w:rsid w:val="00A21016"/>
    <w:rsid w:val="00A26326"/>
    <w:rsid w:val="00A31AEF"/>
    <w:rsid w:val="00A33AD1"/>
    <w:rsid w:val="00A50087"/>
    <w:rsid w:val="00A539BF"/>
    <w:rsid w:val="00A55E04"/>
    <w:rsid w:val="00A57E5E"/>
    <w:rsid w:val="00A619A6"/>
    <w:rsid w:val="00A622E1"/>
    <w:rsid w:val="00A62F9C"/>
    <w:rsid w:val="00A71DC1"/>
    <w:rsid w:val="00A773AE"/>
    <w:rsid w:val="00A80F2D"/>
    <w:rsid w:val="00A84834"/>
    <w:rsid w:val="00A8681C"/>
    <w:rsid w:val="00A91789"/>
    <w:rsid w:val="00A93077"/>
    <w:rsid w:val="00A951A9"/>
    <w:rsid w:val="00A95829"/>
    <w:rsid w:val="00AA2F5A"/>
    <w:rsid w:val="00AA3307"/>
    <w:rsid w:val="00AB1532"/>
    <w:rsid w:val="00AB2A5E"/>
    <w:rsid w:val="00AB5CBC"/>
    <w:rsid w:val="00AB6269"/>
    <w:rsid w:val="00AC23BF"/>
    <w:rsid w:val="00AC45B4"/>
    <w:rsid w:val="00AC7F75"/>
    <w:rsid w:val="00AD3037"/>
    <w:rsid w:val="00AD3C4C"/>
    <w:rsid w:val="00AD5E49"/>
    <w:rsid w:val="00AE10E5"/>
    <w:rsid w:val="00AE2EB9"/>
    <w:rsid w:val="00AF251E"/>
    <w:rsid w:val="00B04E63"/>
    <w:rsid w:val="00B07EC5"/>
    <w:rsid w:val="00B108F1"/>
    <w:rsid w:val="00B10C9C"/>
    <w:rsid w:val="00B13497"/>
    <w:rsid w:val="00B13EDC"/>
    <w:rsid w:val="00B23285"/>
    <w:rsid w:val="00B249C4"/>
    <w:rsid w:val="00B262BA"/>
    <w:rsid w:val="00B269C8"/>
    <w:rsid w:val="00B303D9"/>
    <w:rsid w:val="00B31AED"/>
    <w:rsid w:val="00B31D27"/>
    <w:rsid w:val="00B33C4D"/>
    <w:rsid w:val="00B34C53"/>
    <w:rsid w:val="00B3528D"/>
    <w:rsid w:val="00B357B6"/>
    <w:rsid w:val="00B3669D"/>
    <w:rsid w:val="00B40501"/>
    <w:rsid w:val="00B464E9"/>
    <w:rsid w:val="00B4770B"/>
    <w:rsid w:val="00B5573F"/>
    <w:rsid w:val="00B57B48"/>
    <w:rsid w:val="00B61C3C"/>
    <w:rsid w:val="00B755B8"/>
    <w:rsid w:val="00B83D4A"/>
    <w:rsid w:val="00B87326"/>
    <w:rsid w:val="00B93C12"/>
    <w:rsid w:val="00B96F0B"/>
    <w:rsid w:val="00BA03CD"/>
    <w:rsid w:val="00BA2F46"/>
    <w:rsid w:val="00BA5D33"/>
    <w:rsid w:val="00BA6051"/>
    <w:rsid w:val="00BA65DD"/>
    <w:rsid w:val="00BB1F4F"/>
    <w:rsid w:val="00BB3C22"/>
    <w:rsid w:val="00BB3E2B"/>
    <w:rsid w:val="00BB40DE"/>
    <w:rsid w:val="00BB5D05"/>
    <w:rsid w:val="00BB63AB"/>
    <w:rsid w:val="00BB76D0"/>
    <w:rsid w:val="00BB7C62"/>
    <w:rsid w:val="00BC169A"/>
    <w:rsid w:val="00BC27B8"/>
    <w:rsid w:val="00BC3261"/>
    <w:rsid w:val="00BC47BB"/>
    <w:rsid w:val="00BC7550"/>
    <w:rsid w:val="00BD4D53"/>
    <w:rsid w:val="00BD5365"/>
    <w:rsid w:val="00BD6504"/>
    <w:rsid w:val="00BD7157"/>
    <w:rsid w:val="00BE243A"/>
    <w:rsid w:val="00BE28F7"/>
    <w:rsid w:val="00BE61C6"/>
    <w:rsid w:val="00BF0706"/>
    <w:rsid w:val="00BF1B63"/>
    <w:rsid w:val="00BF476D"/>
    <w:rsid w:val="00C010D6"/>
    <w:rsid w:val="00C05E78"/>
    <w:rsid w:val="00C1117F"/>
    <w:rsid w:val="00C11B6F"/>
    <w:rsid w:val="00C2546E"/>
    <w:rsid w:val="00C31B84"/>
    <w:rsid w:val="00C3449D"/>
    <w:rsid w:val="00C409C3"/>
    <w:rsid w:val="00C415EB"/>
    <w:rsid w:val="00C41A46"/>
    <w:rsid w:val="00C50724"/>
    <w:rsid w:val="00C54A1C"/>
    <w:rsid w:val="00C556DA"/>
    <w:rsid w:val="00C55AC1"/>
    <w:rsid w:val="00C55F47"/>
    <w:rsid w:val="00C571EE"/>
    <w:rsid w:val="00C57C8E"/>
    <w:rsid w:val="00C60F1F"/>
    <w:rsid w:val="00C62FB1"/>
    <w:rsid w:val="00C656F9"/>
    <w:rsid w:val="00C65D25"/>
    <w:rsid w:val="00C662AC"/>
    <w:rsid w:val="00C674F3"/>
    <w:rsid w:val="00C71369"/>
    <w:rsid w:val="00C72732"/>
    <w:rsid w:val="00C73D48"/>
    <w:rsid w:val="00C7604B"/>
    <w:rsid w:val="00C77080"/>
    <w:rsid w:val="00C77B1E"/>
    <w:rsid w:val="00C81F92"/>
    <w:rsid w:val="00C90707"/>
    <w:rsid w:val="00C92238"/>
    <w:rsid w:val="00C9541D"/>
    <w:rsid w:val="00CA1B9F"/>
    <w:rsid w:val="00CA2D0B"/>
    <w:rsid w:val="00CA46F5"/>
    <w:rsid w:val="00CA4F59"/>
    <w:rsid w:val="00CB19D7"/>
    <w:rsid w:val="00CB2CD9"/>
    <w:rsid w:val="00CB4C7D"/>
    <w:rsid w:val="00CC076D"/>
    <w:rsid w:val="00CC29C9"/>
    <w:rsid w:val="00CC3D94"/>
    <w:rsid w:val="00CC57F4"/>
    <w:rsid w:val="00CC7B17"/>
    <w:rsid w:val="00CD0773"/>
    <w:rsid w:val="00CD3BF0"/>
    <w:rsid w:val="00CD62D3"/>
    <w:rsid w:val="00CD7EC9"/>
    <w:rsid w:val="00CE5EE2"/>
    <w:rsid w:val="00D00B29"/>
    <w:rsid w:val="00D07453"/>
    <w:rsid w:val="00D07BFF"/>
    <w:rsid w:val="00D11CE6"/>
    <w:rsid w:val="00D130C5"/>
    <w:rsid w:val="00D138CD"/>
    <w:rsid w:val="00D15063"/>
    <w:rsid w:val="00D16C86"/>
    <w:rsid w:val="00D226A1"/>
    <w:rsid w:val="00D269E4"/>
    <w:rsid w:val="00D279D2"/>
    <w:rsid w:val="00D30715"/>
    <w:rsid w:val="00D34AC2"/>
    <w:rsid w:val="00D40126"/>
    <w:rsid w:val="00D432FF"/>
    <w:rsid w:val="00D442DF"/>
    <w:rsid w:val="00D45008"/>
    <w:rsid w:val="00D46265"/>
    <w:rsid w:val="00D4705B"/>
    <w:rsid w:val="00D501C9"/>
    <w:rsid w:val="00D52831"/>
    <w:rsid w:val="00D55ADE"/>
    <w:rsid w:val="00D55C44"/>
    <w:rsid w:val="00D57018"/>
    <w:rsid w:val="00D623CD"/>
    <w:rsid w:val="00D631E0"/>
    <w:rsid w:val="00D64A4C"/>
    <w:rsid w:val="00D65B1F"/>
    <w:rsid w:val="00D67901"/>
    <w:rsid w:val="00D7174F"/>
    <w:rsid w:val="00D734AA"/>
    <w:rsid w:val="00D73CEB"/>
    <w:rsid w:val="00D74FDD"/>
    <w:rsid w:val="00D7522F"/>
    <w:rsid w:val="00D765A5"/>
    <w:rsid w:val="00D76EB3"/>
    <w:rsid w:val="00D7788E"/>
    <w:rsid w:val="00D81B19"/>
    <w:rsid w:val="00D85D61"/>
    <w:rsid w:val="00D86F92"/>
    <w:rsid w:val="00D91DD7"/>
    <w:rsid w:val="00D9392C"/>
    <w:rsid w:val="00D97E83"/>
    <w:rsid w:val="00DB3BCB"/>
    <w:rsid w:val="00DB4F5C"/>
    <w:rsid w:val="00DB5D7F"/>
    <w:rsid w:val="00DB7789"/>
    <w:rsid w:val="00DB7E35"/>
    <w:rsid w:val="00DC0309"/>
    <w:rsid w:val="00DC0FF1"/>
    <w:rsid w:val="00DC2D08"/>
    <w:rsid w:val="00DC5C8C"/>
    <w:rsid w:val="00DC78F1"/>
    <w:rsid w:val="00DD1A2C"/>
    <w:rsid w:val="00DD1BAA"/>
    <w:rsid w:val="00DD3302"/>
    <w:rsid w:val="00DD5359"/>
    <w:rsid w:val="00DE0ADE"/>
    <w:rsid w:val="00DE1039"/>
    <w:rsid w:val="00DE23E9"/>
    <w:rsid w:val="00DE46BC"/>
    <w:rsid w:val="00DE617A"/>
    <w:rsid w:val="00DF2761"/>
    <w:rsid w:val="00DF3F74"/>
    <w:rsid w:val="00DF627D"/>
    <w:rsid w:val="00DF64E9"/>
    <w:rsid w:val="00DF708A"/>
    <w:rsid w:val="00E01DB5"/>
    <w:rsid w:val="00E021EA"/>
    <w:rsid w:val="00E04388"/>
    <w:rsid w:val="00E0705A"/>
    <w:rsid w:val="00E07CC0"/>
    <w:rsid w:val="00E14BA9"/>
    <w:rsid w:val="00E1584D"/>
    <w:rsid w:val="00E20506"/>
    <w:rsid w:val="00E215D4"/>
    <w:rsid w:val="00E3061A"/>
    <w:rsid w:val="00E31730"/>
    <w:rsid w:val="00E31E6E"/>
    <w:rsid w:val="00E33DA6"/>
    <w:rsid w:val="00E350F4"/>
    <w:rsid w:val="00E35240"/>
    <w:rsid w:val="00E37884"/>
    <w:rsid w:val="00E404AA"/>
    <w:rsid w:val="00E40835"/>
    <w:rsid w:val="00E41E64"/>
    <w:rsid w:val="00E437F8"/>
    <w:rsid w:val="00E44966"/>
    <w:rsid w:val="00E47262"/>
    <w:rsid w:val="00E52D21"/>
    <w:rsid w:val="00E53E1B"/>
    <w:rsid w:val="00E552DF"/>
    <w:rsid w:val="00E560BD"/>
    <w:rsid w:val="00E6025E"/>
    <w:rsid w:val="00E6121F"/>
    <w:rsid w:val="00E6133B"/>
    <w:rsid w:val="00E61561"/>
    <w:rsid w:val="00E61C8F"/>
    <w:rsid w:val="00E64A7D"/>
    <w:rsid w:val="00E652B2"/>
    <w:rsid w:val="00E66F90"/>
    <w:rsid w:val="00E71F3B"/>
    <w:rsid w:val="00E720BA"/>
    <w:rsid w:val="00E72185"/>
    <w:rsid w:val="00E74383"/>
    <w:rsid w:val="00E74DB7"/>
    <w:rsid w:val="00E76E3B"/>
    <w:rsid w:val="00E82CE8"/>
    <w:rsid w:val="00E82F6A"/>
    <w:rsid w:val="00E866D3"/>
    <w:rsid w:val="00E86841"/>
    <w:rsid w:val="00E8787E"/>
    <w:rsid w:val="00E90574"/>
    <w:rsid w:val="00E9298C"/>
    <w:rsid w:val="00E93B90"/>
    <w:rsid w:val="00E94F27"/>
    <w:rsid w:val="00E96E1E"/>
    <w:rsid w:val="00EA3260"/>
    <w:rsid w:val="00EA6E4A"/>
    <w:rsid w:val="00EB277D"/>
    <w:rsid w:val="00EB4416"/>
    <w:rsid w:val="00EB626A"/>
    <w:rsid w:val="00EC127A"/>
    <w:rsid w:val="00EC30AE"/>
    <w:rsid w:val="00EC3240"/>
    <w:rsid w:val="00ED3553"/>
    <w:rsid w:val="00ED3809"/>
    <w:rsid w:val="00ED6E0D"/>
    <w:rsid w:val="00EE759E"/>
    <w:rsid w:val="00EF0F8A"/>
    <w:rsid w:val="00EF48DC"/>
    <w:rsid w:val="00EF7F8E"/>
    <w:rsid w:val="00F02C96"/>
    <w:rsid w:val="00F03456"/>
    <w:rsid w:val="00F044A3"/>
    <w:rsid w:val="00F114F0"/>
    <w:rsid w:val="00F119BB"/>
    <w:rsid w:val="00F12F86"/>
    <w:rsid w:val="00F152D8"/>
    <w:rsid w:val="00F1592B"/>
    <w:rsid w:val="00F2470C"/>
    <w:rsid w:val="00F2513D"/>
    <w:rsid w:val="00F2717D"/>
    <w:rsid w:val="00F3121D"/>
    <w:rsid w:val="00F329BA"/>
    <w:rsid w:val="00F33893"/>
    <w:rsid w:val="00F34569"/>
    <w:rsid w:val="00F34698"/>
    <w:rsid w:val="00F3598C"/>
    <w:rsid w:val="00F35BC2"/>
    <w:rsid w:val="00F37BDB"/>
    <w:rsid w:val="00F4227C"/>
    <w:rsid w:val="00F5086B"/>
    <w:rsid w:val="00F52E6F"/>
    <w:rsid w:val="00F52EFC"/>
    <w:rsid w:val="00F5487F"/>
    <w:rsid w:val="00F56549"/>
    <w:rsid w:val="00F569F3"/>
    <w:rsid w:val="00F56BFD"/>
    <w:rsid w:val="00F57362"/>
    <w:rsid w:val="00F57EF0"/>
    <w:rsid w:val="00F616CB"/>
    <w:rsid w:val="00F62970"/>
    <w:rsid w:val="00F6637D"/>
    <w:rsid w:val="00F7246B"/>
    <w:rsid w:val="00F75E82"/>
    <w:rsid w:val="00F772CA"/>
    <w:rsid w:val="00F86851"/>
    <w:rsid w:val="00F91BEF"/>
    <w:rsid w:val="00F96BDA"/>
    <w:rsid w:val="00FA09E9"/>
    <w:rsid w:val="00FB2810"/>
    <w:rsid w:val="00FB4C71"/>
    <w:rsid w:val="00FB5559"/>
    <w:rsid w:val="00FB624B"/>
    <w:rsid w:val="00FC5D5E"/>
    <w:rsid w:val="00FC617F"/>
    <w:rsid w:val="00FC7D95"/>
    <w:rsid w:val="00FD031F"/>
    <w:rsid w:val="00FD100C"/>
    <w:rsid w:val="00FD1FC6"/>
    <w:rsid w:val="00FD2438"/>
    <w:rsid w:val="00FD615F"/>
    <w:rsid w:val="00FE0A70"/>
    <w:rsid w:val="00FE35DD"/>
    <w:rsid w:val="00FE46B9"/>
    <w:rsid w:val="00FE5054"/>
    <w:rsid w:val="00FE5548"/>
    <w:rsid w:val="00FE6FCF"/>
    <w:rsid w:val="00FE799D"/>
    <w:rsid w:val="00FF0193"/>
    <w:rsid w:val="00FF347A"/>
    <w:rsid w:val="00FF37AC"/>
    <w:rsid w:val="00FF4E7A"/>
    <w:rsid w:val="00FF5A47"/>
    <w:rsid w:val="00FF7C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DB143E0"/>
  <w15:chartTrackingRefBased/>
  <w15:docId w15:val="{8D1BDE6C-814A-4885-9DC0-A9D01E4A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fr-FR"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03A"/>
    <w:pPr>
      <w:spacing w:line="300" w:lineRule="atLeast"/>
      <w:jc w:val="both"/>
    </w:pPr>
    <w:rPr>
      <w:rFonts w:ascii="Arial" w:hAnsi="Arial"/>
      <w:sz w:val="22"/>
      <w:szCs w:val="24"/>
      <w:lang w:eastAsia="zh-TW"/>
    </w:rPr>
  </w:style>
  <w:style w:type="paragraph" w:styleId="Heading1">
    <w:name w:val="heading 1"/>
    <w:basedOn w:val="Normal"/>
    <w:next w:val="Normal"/>
    <w:qFormat/>
    <w:rsid w:val="000A203A"/>
    <w:pPr>
      <w:keepNext/>
      <w:spacing w:before="240" w:after="60"/>
      <w:outlineLvl w:val="0"/>
    </w:pPr>
    <w:rPr>
      <w:rFonts w:ascii="Arial (W1)" w:hAnsi="Arial (W1)" w:cs="Arial (W1)"/>
      <w:b/>
      <w:bCs/>
      <w:color w:val="E63C14"/>
      <w:kern w:val="32"/>
      <w:szCs w:val="32"/>
      <w:u w:val="single"/>
    </w:rPr>
  </w:style>
  <w:style w:type="paragraph" w:styleId="Heading2">
    <w:name w:val="heading 2"/>
    <w:basedOn w:val="Normal"/>
    <w:next w:val="Normal"/>
    <w:link w:val="Heading2Char"/>
    <w:semiHidden/>
    <w:unhideWhenUsed/>
    <w:qFormat/>
    <w:rsid w:val="00BC169A"/>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semiHidden/>
    <w:unhideWhenUsed/>
    <w:qFormat/>
    <w:rsid w:val="00BC169A"/>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A203A"/>
  </w:style>
  <w:style w:type="paragraph" w:styleId="Header">
    <w:name w:val="header"/>
    <w:basedOn w:val="Normal"/>
    <w:rsid w:val="00265144"/>
    <w:pPr>
      <w:tabs>
        <w:tab w:val="center" w:pos="4536"/>
        <w:tab w:val="right" w:pos="9072"/>
      </w:tabs>
    </w:pPr>
  </w:style>
  <w:style w:type="paragraph" w:styleId="Footer">
    <w:name w:val="footer"/>
    <w:basedOn w:val="Normal"/>
    <w:rsid w:val="00265144"/>
    <w:pPr>
      <w:tabs>
        <w:tab w:val="center" w:pos="4536"/>
        <w:tab w:val="right" w:pos="9072"/>
      </w:tabs>
    </w:pPr>
  </w:style>
  <w:style w:type="table" w:styleId="TableGrid">
    <w:name w:val="Table Grid"/>
    <w:basedOn w:val="TableNormal"/>
    <w:rsid w:val="00492761"/>
    <w:pPr>
      <w:spacing w:line="30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63F4"/>
    <w:pPr>
      <w:spacing w:before="100" w:beforeAutospacing="1" w:after="100" w:afterAutospacing="1" w:line="240" w:lineRule="auto"/>
      <w:jc w:val="left"/>
    </w:pPr>
    <w:rPr>
      <w:rFonts w:ascii="Times New Roman" w:eastAsia="Times New Roman" w:hAnsi="Times New Roman"/>
      <w:sz w:val="24"/>
      <w:lang w:eastAsia="fr-FR"/>
    </w:rPr>
  </w:style>
  <w:style w:type="paragraph" w:customStyle="1" w:styleId="Default">
    <w:name w:val="Default"/>
    <w:rsid w:val="003B46AF"/>
    <w:pPr>
      <w:autoSpaceDE w:val="0"/>
      <w:autoSpaceDN w:val="0"/>
      <w:adjustRightInd w:val="0"/>
    </w:pPr>
    <w:rPr>
      <w:rFonts w:ascii="Trebuchet MS" w:hAnsi="Trebuchet MS" w:cs="Trebuchet MS"/>
      <w:color w:val="000000"/>
      <w:sz w:val="24"/>
      <w:szCs w:val="24"/>
      <w:lang w:eastAsia="fr-FR"/>
    </w:rPr>
  </w:style>
  <w:style w:type="paragraph" w:styleId="ListParagraph">
    <w:name w:val="List Paragraph"/>
    <w:aliases w:val="MAP,Bullet List,FooterText,Párrafo de lista,List Paragraph1,numbered,Paragraphe de liste1,Bulletr List Paragraph,列出段落,列出段落1,List Paragraph2,List Paragraph21,List Paragraph11,Parágrafo da Lista1,Párrafo de lista1,リスト段落1"/>
    <w:basedOn w:val="Normal"/>
    <w:link w:val="ListParagraphChar"/>
    <w:uiPriority w:val="34"/>
    <w:qFormat/>
    <w:rsid w:val="002C57FF"/>
    <w:pPr>
      <w:spacing w:line="240" w:lineRule="auto"/>
      <w:ind w:left="720"/>
      <w:jc w:val="left"/>
    </w:pPr>
    <w:rPr>
      <w:rFonts w:ascii="Times New Roman" w:eastAsia="Calibri" w:hAnsi="Times New Roman"/>
      <w:sz w:val="24"/>
      <w:lang w:eastAsia="fr-FR"/>
    </w:rPr>
  </w:style>
  <w:style w:type="paragraph" w:customStyle="1" w:styleId="StyleAvant6ptInterligneAumoins18pt">
    <w:name w:val="Style Avant : 6 pt Interligne : Au moins 18 pt"/>
    <w:basedOn w:val="Normal"/>
    <w:rsid w:val="009C58C7"/>
    <w:pPr>
      <w:spacing w:before="120" w:line="360" w:lineRule="atLeast"/>
    </w:pPr>
    <w:rPr>
      <w:rFonts w:ascii="Century Gothic" w:eastAsia="Times New Roman" w:hAnsi="Century Gothic" w:cs="Century Gothic"/>
      <w:color w:val="727A7D"/>
      <w:sz w:val="24"/>
      <w:lang w:eastAsia="fr-FR"/>
    </w:rPr>
  </w:style>
  <w:style w:type="paragraph" w:customStyle="1" w:styleId="msolistparagraph0">
    <w:name w:val="msolistparagraph"/>
    <w:basedOn w:val="Normal"/>
    <w:rsid w:val="00E14BA9"/>
    <w:pPr>
      <w:spacing w:line="240" w:lineRule="auto"/>
      <w:ind w:left="720"/>
      <w:jc w:val="left"/>
    </w:pPr>
    <w:rPr>
      <w:rFonts w:ascii="Calibri" w:eastAsia="Times New Roman" w:hAnsi="Calibri" w:cs="Calibri"/>
      <w:szCs w:val="22"/>
      <w:lang w:eastAsia="fr-FR"/>
    </w:rPr>
  </w:style>
  <w:style w:type="paragraph" w:styleId="BalloonText">
    <w:name w:val="Balloon Text"/>
    <w:basedOn w:val="Normal"/>
    <w:link w:val="BalloonTextChar"/>
    <w:rsid w:val="00600711"/>
    <w:pPr>
      <w:spacing w:line="240" w:lineRule="auto"/>
    </w:pPr>
    <w:rPr>
      <w:rFonts w:ascii="Tahoma" w:hAnsi="Tahoma" w:cs="Tahoma"/>
      <w:sz w:val="16"/>
      <w:szCs w:val="16"/>
    </w:rPr>
  </w:style>
  <w:style w:type="character" w:customStyle="1" w:styleId="BalloonTextChar">
    <w:name w:val="Balloon Text Char"/>
    <w:link w:val="BalloonText"/>
    <w:rsid w:val="00600711"/>
    <w:rPr>
      <w:rFonts w:ascii="Tahoma" w:hAnsi="Tahoma" w:cs="Tahoma"/>
      <w:sz w:val="16"/>
      <w:szCs w:val="16"/>
      <w:lang w:eastAsia="zh-TW"/>
    </w:rPr>
  </w:style>
  <w:style w:type="character" w:styleId="CommentReference">
    <w:name w:val="annotation reference"/>
    <w:rsid w:val="000331F4"/>
    <w:rPr>
      <w:sz w:val="16"/>
      <w:szCs w:val="16"/>
    </w:rPr>
  </w:style>
  <w:style w:type="paragraph" w:styleId="CommentText">
    <w:name w:val="annotation text"/>
    <w:basedOn w:val="Normal"/>
    <w:link w:val="CommentTextChar"/>
    <w:rsid w:val="000331F4"/>
    <w:rPr>
      <w:sz w:val="20"/>
      <w:szCs w:val="20"/>
    </w:rPr>
  </w:style>
  <w:style w:type="character" w:customStyle="1" w:styleId="CommentTextChar">
    <w:name w:val="Comment Text Char"/>
    <w:link w:val="CommentText"/>
    <w:rsid w:val="000331F4"/>
    <w:rPr>
      <w:rFonts w:ascii="Arial" w:hAnsi="Arial"/>
      <w:lang w:eastAsia="zh-TW"/>
    </w:rPr>
  </w:style>
  <w:style w:type="paragraph" w:styleId="CommentSubject">
    <w:name w:val="annotation subject"/>
    <w:basedOn w:val="CommentText"/>
    <w:next w:val="CommentText"/>
    <w:link w:val="CommentSubjectChar"/>
    <w:rsid w:val="000331F4"/>
    <w:rPr>
      <w:b/>
      <w:bCs/>
    </w:rPr>
  </w:style>
  <w:style w:type="character" w:customStyle="1" w:styleId="CommentSubjectChar">
    <w:name w:val="Comment Subject Char"/>
    <w:link w:val="CommentSubject"/>
    <w:rsid w:val="000331F4"/>
    <w:rPr>
      <w:rFonts w:ascii="Arial" w:hAnsi="Arial"/>
      <w:b/>
      <w:bCs/>
      <w:lang w:eastAsia="zh-TW"/>
    </w:rPr>
  </w:style>
  <w:style w:type="paragraph" w:customStyle="1" w:styleId="Corps-1-Attention">
    <w:name w:val="Corps-1-Attention"/>
    <w:basedOn w:val="Normal"/>
    <w:rsid w:val="00BC169A"/>
    <w:pPr>
      <w:pBdr>
        <w:top w:val="single" w:sz="4" w:space="1" w:color="auto" w:shadow="1"/>
        <w:left w:val="single" w:sz="4" w:space="4" w:color="auto" w:shadow="1"/>
        <w:bottom w:val="single" w:sz="4" w:space="1" w:color="auto" w:shadow="1"/>
        <w:right w:val="single" w:sz="4" w:space="4" w:color="auto" w:shadow="1"/>
      </w:pBdr>
      <w:tabs>
        <w:tab w:val="num" w:pos="720"/>
      </w:tabs>
      <w:spacing w:line="240" w:lineRule="auto"/>
      <w:ind w:left="720" w:hanging="360"/>
    </w:pPr>
    <w:rPr>
      <w:rFonts w:eastAsia="Times New Roman" w:cs="Arial"/>
      <w:szCs w:val="22"/>
      <w:lang w:eastAsia="fr-FR"/>
    </w:rPr>
  </w:style>
  <w:style w:type="character" w:customStyle="1" w:styleId="Heading2Char">
    <w:name w:val="Heading 2 Char"/>
    <w:link w:val="Heading2"/>
    <w:semiHidden/>
    <w:rsid w:val="00BC169A"/>
    <w:rPr>
      <w:rFonts w:ascii="Calibri Light" w:eastAsia="Times New Roman" w:hAnsi="Calibri Light" w:cs="Times New Roman"/>
      <w:b/>
      <w:bCs/>
      <w:i/>
      <w:iCs/>
      <w:sz w:val="28"/>
      <w:szCs w:val="28"/>
      <w:lang w:eastAsia="zh-TW"/>
    </w:rPr>
  </w:style>
  <w:style w:type="character" w:customStyle="1" w:styleId="Heading3Char">
    <w:name w:val="Heading 3 Char"/>
    <w:link w:val="Heading3"/>
    <w:semiHidden/>
    <w:rsid w:val="00BC169A"/>
    <w:rPr>
      <w:rFonts w:ascii="Calibri Light" w:eastAsia="Times New Roman" w:hAnsi="Calibri Light" w:cs="Times New Roman"/>
      <w:b/>
      <w:bCs/>
      <w:sz w:val="26"/>
      <w:szCs w:val="26"/>
      <w:lang w:eastAsia="zh-TW"/>
    </w:rPr>
  </w:style>
  <w:style w:type="character" w:styleId="Hyperlink">
    <w:name w:val="Hyperlink"/>
    <w:rsid w:val="00BC7550"/>
    <w:rPr>
      <w:color w:val="0563C1"/>
      <w:u w:val="single"/>
    </w:rPr>
  </w:style>
  <w:style w:type="character" w:customStyle="1" w:styleId="Mentionnonrsolue1">
    <w:name w:val="Mention non résolue1"/>
    <w:uiPriority w:val="99"/>
    <w:semiHidden/>
    <w:unhideWhenUsed/>
    <w:rsid w:val="00BC7550"/>
    <w:rPr>
      <w:color w:val="605E5C"/>
      <w:shd w:val="clear" w:color="auto" w:fill="E1DFDD"/>
    </w:rPr>
  </w:style>
  <w:style w:type="character" w:customStyle="1" w:styleId="ListParagraphChar">
    <w:name w:val="List Paragraph Char"/>
    <w:aliases w:val="MAP Char,Bullet List Char,FooterText Char,Párrafo de lista Char,List Paragraph1 Char,numbered Char,Paragraphe de liste1 Char,Bulletr List Paragraph Char,列出段落 Char,列出段落1 Char,List Paragraph2 Char,List Paragraph21 Char,リスト段落1 Char"/>
    <w:basedOn w:val="DefaultParagraphFont"/>
    <w:link w:val="ListParagraph"/>
    <w:uiPriority w:val="99"/>
    <w:locked/>
    <w:rsid w:val="000C4994"/>
    <w:rPr>
      <w:rFonts w:eastAsia="Calibri"/>
      <w:sz w:val="24"/>
      <w:szCs w:val="24"/>
      <w:lang w:val="fr-FR" w:eastAsia="fr-FR"/>
    </w:rPr>
  </w:style>
  <w:style w:type="paragraph" w:styleId="Revision">
    <w:name w:val="Revision"/>
    <w:hidden/>
    <w:uiPriority w:val="99"/>
    <w:semiHidden/>
    <w:rsid w:val="006276B1"/>
    <w:rPr>
      <w:rFonts w:ascii="Arial" w:hAnsi="Arial"/>
      <w:sz w:val="22"/>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1905">
      <w:bodyDiv w:val="1"/>
      <w:marLeft w:val="0"/>
      <w:marRight w:val="0"/>
      <w:marTop w:val="0"/>
      <w:marBottom w:val="0"/>
      <w:divBdr>
        <w:top w:val="none" w:sz="0" w:space="0" w:color="auto"/>
        <w:left w:val="none" w:sz="0" w:space="0" w:color="auto"/>
        <w:bottom w:val="none" w:sz="0" w:space="0" w:color="auto"/>
        <w:right w:val="none" w:sz="0" w:space="0" w:color="auto"/>
      </w:divBdr>
    </w:div>
    <w:div w:id="40832954">
      <w:bodyDiv w:val="1"/>
      <w:marLeft w:val="0"/>
      <w:marRight w:val="0"/>
      <w:marTop w:val="0"/>
      <w:marBottom w:val="0"/>
      <w:divBdr>
        <w:top w:val="none" w:sz="0" w:space="0" w:color="auto"/>
        <w:left w:val="none" w:sz="0" w:space="0" w:color="auto"/>
        <w:bottom w:val="none" w:sz="0" w:space="0" w:color="auto"/>
        <w:right w:val="none" w:sz="0" w:space="0" w:color="auto"/>
      </w:divBdr>
    </w:div>
    <w:div w:id="97988669">
      <w:bodyDiv w:val="1"/>
      <w:marLeft w:val="0"/>
      <w:marRight w:val="0"/>
      <w:marTop w:val="0"/>
      <w:marBottom w:val="0"/>
      <w:divBdr>
        <w:top w:val="none" w:sz="0" w:space="0" w:color="auto"/>
        <w:left w:val="none" w:sz="0" w:space="0" w:color="auto"/>
        <w:bottom w:val="none" w:sz="0" w:space="0" w:color="auto"/>
        <w:right w:val="none" w:sz="0" w:space="0" w:color="auto"/>
      </w:divBdr>
    </w:div>
    <w:div w:id="163008640">
      <w:bodyDiv w:val="1"/>
      <w:marLeft w:val="0"/>
      <w:marRight w:val="0"/>
      <w:marTop w:val="0"/>
      <w:marBottom w:val="0"/>
      <w:divBdr>
        <w:top w:val="none" w:sz="0" w:space="0" w:color="auto"/>
        <w:left w:val="none" w:sz="0" w:space="0" w:color="auto"/>
        <w:bottom w:val="none" w:sz="0" w:space="0" w:color="auto"/>
        <w:right w:val="none" w:sz="0" w:space="0" w:color="auto"/>
      </w:divBdr>
    </w:div>
    <w:div w:id="238289487">
      <w:bodyDiv w:val="1"/>
      <w:marLeft w:val="0"/>
      <w:marRight w:val="0"/>
      <w:marTop w:val="0"/>
      <w:marBottom w:val="0"/>
      <w:divBdr>
        <w:top w:val="none" w:sz="0" w:space="0" w:color="auto"/>
        <w:left w:val="none" w:sz="0" w:space="0" w:color="auto"/>
        <w:bottom w:val="none" w:sz="0" w:space="0" w:color="auto"/>
        <w:right w:val="none" w:sz="0" w:space="0" w:color="auto"/>
      </w:divBdr>
    </w:div>
    <w:div w:id="255135324">
      <w:bodyDiv w:val="1"/>
      <w:marLeft w:val="0"/>
      <w:marRight w:val="0"/>
      <w:marTop w:val="0"/>
      <w:marBottom w:val="0"/>
      <w:divBdr>
        <w:top w:val="none" w:sz="0" w:space="0" w:color="auto"/>
        <w:left w:val="none" w:sz="0" w:space="0" w:color="auto"/>
        <w:bottom w:val="none" w:sz="0" w:space="0" w:color="auto"/>
        <w:right w:val="none" w:sz="0" w:space="0" w:color="auto"/>
      </w:divBdr>
    </w:div>
    <w:div w:id="364793124">
      <w:bodyDiv w:val="1"/>
      <w:marLeft w:val="0"/>
      <w:marRight w:val="0"/>
      <w:marTop w:val="0"/>
      <w:marBottom w:val="0"/>
      <w:divBdr>
        <w:top w:val="none" w:sz="0" w:space="0" w:color="auto"/>
        <w:left w:val="none" w:sz="0" w:space="0" w:color="auto"/>
        <w:bottom w:val="none" w:sz="0" w:space="0" w:color="auto"/>
        <w:right w:val="none" w:sz="0" w:space="0" w:color="auto"/>
      </w:divBdr>
    </w:div>
    <w:div w:id="411586328">
      <w:bodyDiv w:val="1"/>
      <w:marLeft w:val="0"/>
      <w:marRight w:val="0"/>
      <w:marTop w:val="0"/>
      <w:marBottom w:val="0"/>
      <w:divBdr>
        <w:top w:val="none" w:sz="0" w:space="0" w:color="auto"/>
        <w:left w:val="none" w:sz="0" w:space="0" w:color="auto"/>
        <w:bottom w:val="none" w:sz="0" w:space="0" w:color="auto"/>
        <w:right w:val="none" w:sz="0" w:space="0" w:color="auto"/>
      </w:divBdr>
    </w:div>
    <w:div w:id="446049149">
      <w:bodyDiv w:val="1"/>
      <w:marLeft w:val="0"/>
      <w:marRight w:val="0"/>
      <w:marTop w:val="0"/>
      <w:marBottom w:val="0"/>
      <w:divBdr>
        <w:top w:val="none" w:sz="0" w:space="0" w:color="auto"/>
        <w:left w:val="none" w:sz="0" w:space="0" w:color="auto"/>
        <w:bottom w:val="none" w:sz="0" w:space="0" w:color="auto"/>
        <w:right w:val="none" w:sz="0" w:space="0" w:color="auto"/>
      </w:divBdr>
    </w:div>
    <w:div w:id="488669132">
      <w:bodyDiv w:val="1"/>
      <w:marLeft w:val="0"/>
      <w:marRight w:val="0"/>
      <w:marTop w:val="0"/>
      <w:marBottom w:val="0"/>
      <w:divBdr>
        <w:top w:val="none" w:sz="0" w:space="0" w:color="auto"/>
        <w:left w:val="none" w:sz="0" w:space="0" w:color="auto"/>
        <w:bottom w:val="none" w:sz="0" w:space="0" w:color="auto"/>
        <w:right w:val="none" w:sz="0" w:space="0" w:color="auto"/>
      </w:divBdr>
    </w:div>
    <w:div w:id="551816199">
      <w:bodyDiv w:val="1"/>
      <w:marLeft w:val="0"/>
      <w:marRight w:val="0"/>
      <w:marTop w:val="0"/>
      <w:marBottom w:val="0"/>
      <w:divBdr>
        <w:top w:val="none" w:sz="0" w:space="0" w:color="auto"/>
        <w:left w:val="none" w:sz="0" w:space="0" w:color="auto"/>
        <w:bottom w:val="none" w:sz="0" w:space="0" w:color="auto"/>
        <w:right w:val="none" w:sz="0" w:space="0" w:color="auto"/>
      </w:divBdr>
    </w:div>
    <w:div w:id="584845019">
      <w:bodyDiv w:val="1"/>
      <w:marLeft w:val="0"/>
      <w:marRight w:val="0"/>
      <w:marTop w:val="0"/>
      <w:marBottom w:val="0"/>
      <w:divBdr>
        <w:top w:val="none" w:sz="0" w:space="0" w:color="auto"/>
        <w:left w:val="none" w:sz="0" w:space="0" w:color="auto"/>
        <w:bottom w:val="none" w:sz="0" w:space="0" w:color="auto"/>
        <w:right w:val="none" w:sz="0" w:space="0" w:color="auto"/>
      </w:divBdr>
    </w:div>
    <w:div w:id="641695576">
      <w:bodyDiv w:val="1"/>
      <w:marLeft w:val="0"/>
      <w:marRight w:val="0"/>
      <w:marTop w:val="0"/>
      <w:marBottom w:val="0"/>
      <w:divBdr>
        <w:top w:val="none" w:sz="0" w:space="0" w:color="auto"/>
        <w:left w:val="none" w:sz="0" w:space="0" w:color="auto"/>
        <w:bottom w:val="none" w:sz="0" w:space="0" w:color="auto"/>
        <w:right w:val="none" w:sz="0" w:space="0" w:color="auto"/>
      </w:divBdr>
    </w:div>
    <w:div w:id="671183287">
      <w:bodyDiv w:val="1"/>
      <w:marLeft w:val="0"/>
      <w:marRight w:val="0"/>
      <w:marTop w:val="0"/>
      <w:marBottom w:val="0"/>
      <w:divBdr>
        <w:top w:val="none" w:sz="0" w:space="0" w:color="auto"/>
        <w:left w:val="none" w:sz="0" w:space="0" w:color="auto"/>
        <w:bottom w:val="none" w:sz="0" w:space="0" w:color="auto"/>
        <w:right w:val="none" w:sz="0" w:space="0" w:color="auto"/>
      </w:divBdr>
    </w:div>
    <w:div w:id="745566135">
      <w:bodyDiv w:val="1"/>
      <w:marLeft w:val="0"/>
      <w:marRight w:val="0"/>
      <w:marTop w:val="0"/>
      <w:marBottom w:val="0"/>
      <w:divBdr>
        <w:top w:val="none" w:sz="0" w:space="0" w:color="auto"/>
        <w:left w:val="none" w:sz="0" w:space="0" w:color="auto"/>
        <w:bottom w:val="none" w:sz="0" w:space="0" w:color="auto"/>
        <w:right w:val="none" w:sz="0" w:space="0" w:color="auto"/>
      </w:divBdr>
    </w:div>
    <w:div w:id="849686426">
      <w:bodyDiv w:val="1"/>
      <w:marLeft w:val="0"/>
      <w:marRight w:val="0"/>
      <w:marTop w:val="0"/>
      <w:marBottom w:val="0"/>
      <w:divBdr>
        <w:top w:val="none" w:sz="0" w:space="0" w:color="auto"/>
        <w:left w:val="none" w:sz="0" w:space="0" w:color="auto"/>
        <w:bottom w:val="none" w:sz="0" w:space="0" w:color="auto"/>
        <w:right w:val="none" w:sz="0" w:space="0" w:color="auto"/>
      </w:divBdr>
    </w:div>
    <w:div w:id="883714262">
      <w:bodyDiv w:val="1"/>
      <w:marLeft w:val="0"/>
      <w:marRight w:val="0"/>
      <w:marTop w:val="0"/>
      <w:marBottom w:val="0"/>
      <w:divBdr>
        <w:top w:val="none" w:sz="0" w:space="0" w:color="auto"/>
        <w:left w:val="none" w:sz="0" w:space="0" w:color="auto"/>
        <w:bottom w:val="none" w:sz="0" w:space="0" w:color="auto"/>
        <w:right w:val="none" w:sz="0" w:space="0" w:color="auto"/>
      </w:divBdr>
    </w:div>
    <w:div w:id="892548631">
      <w:bodyDiv w:val="1"/>
      <w:marLeft w:val="0"/>
      <w:marRight w:val="0"/>
      <w:marTop w:val="0"/>
      <w:marBottom w:val="0"/>
      <w:divBdr>
        <w:top w:val="none" w:sz="0" w:space="0" w:color="auto"/>
        <w:left w:val="none" w:sz="0" w:space="0" w:color="auto"/>
        <w:bottom w:val="none" w:sz="0" w:space="0" w:color="auto"/>
        <w:right w:val="none" w:sz="0" w:space="0" w:color="auto"/>
      </w:divBdr>
    </w:div>
    <w:div w:id="945505062">
      <w:bodyDiv w:val="1"/>
      <w:marLeft w:val="0"/>
      <w:marRight w:val="0"/>
      <w:marTop w:val="0"/>
      <w:marBottom w:val="0"/>
      <w:divBdr>
        <w:top w:val="none" w:sz="0" w:space="0" w:color="auto"/>
        <w:left w:val="none" w:sz="0" w:space="0" w:color="auto"/>
        <w:bottom w:val="none" w:sz="0" w:space="0" w:color="auto"/>
        <w:right w:val="none" w:sz="0" w:space="0" w:color="auto"/>
      </w:divBdr>
    </w:div>
    <w:div w:id="968440006">
      <w:bodyDiv w:val="1"/>
      <w:marLeft w:val="0"/>
      <w:marRight w:val="0"/>
      <w:marTop w:val="0"/>
      <w:marBottom w:val="0"/>
      <w:divBdr>
        <w:top w:val="none" w:sz="0" w:space="0" w:color="auto"/>
        <w:left w:val="none" w:sz="0" w:space="0" w:color="auto"/>
        <w:bottom w:val="none" w:sz="0" w:space="0" w:color="auto"/>
        <w:right w:val="none" w:sz="0" w:space="0" w:color="auto"/>
      </w:divBdr>
    </w:div>
    <w:div w:id="1090153049">
      <w:bodyDiv w:val="1"/>
      <w:marLeft w:val="0"/>
      <w:marRight w:val="0"/>
      <w:marTop w:val="0"/>
      <w:marBottom w:val="0"/>
      <w:divBdr>
        <w:top w:val="none" w:sz="0" w:space="0" w:color="auto"/>
        <w:left w:val="none" w:sz="0" w:space="0" w:color="auto"/>
        <w:bottom w:val="none" w:sz="0" w:space="0" w:color="auto"/>
        <w:right w:val="none" w:sz="0" w:space="0" w:color="auto"/>
      </w:divBdr>
      <w:divsChild>
        <w:div w:id="1134563144">
          <w:marLeft w:val="922"/>
          <w:marRight w:val="0"/>
          <w:marTop w:val="0"/>
          <w:marBottom w:val="0"/>
          <w:divBdr>
            <w:top w:val="none" w:sz="0" w:space="0" w:color="auto"/>
            <w:left w:val="none" w:sz="0" w:space="0" w:color="auto"/>
            <w:bottom w:val="none" w:sz="0" w:space="0" w:color="auto"/>
            <w:right w:val="none" w:sz="0" w:space="0" w:color="auto"/>
          </w:divBdr>
        </w:div>
        <w:div w:id="1298536711">
          <w:marLeft w:val="922"/>
          <w:marRight w:val="0"/>
          <w:marTop w:val="0"/>
          <w:marBottom w:val="0"/>
          <w:divBdr>
            <w:top w:val="none" w:sz="0" w:space="0" w:color="auto"/>
            <w:left w:val="none" w:sz="0" w:space="0" w:color="auto"/>
            <w:bottom w:val="none" w:sz="0" w:space="0" w:color="auto"/>
            <w:right w:val="none" w:sz="0" w:space="0" w:color="auto"/>
          </w:divBdr>
        </w:div>
        <w:div w:id="2090034402">
          <w:marLeft w:val="922"/>
          <w:marRight w:val="0"/>
          <w:marTop w:val="0"/>
          <w:marBottom w:val="0"/>
          <w:divBdr>
            <w:top w:val="none" w:sz="0" w:space="0" w:color="auto"/>
            <w:left w:val="none" w:sz="0" w:space="0" w:color="auto"/>
            <w:bottom w:val="none" w:sz="0" w:space="0" w:color="auto"/>
            <w:right w:val="none" w:sz="0" w:space="0" w:color="auto"/>
          </w:divBdr>
        </w:div>
      </w:divsChild>
    </w:div>
    <w:div w:id="1143933894">
      <w:bodyDiv w:val="1"/>
      <w:marLeft w:val="0"/>
      <w:marRight w:val="0"/>
      <w:marTop w:val="0"/>
      <w:marBottom w:val="0"/>
      <w:divBdr>
        <w:top w:val="none" w:sz="0" w:space="0" w:color="auto"/>
        <w:left w:val="none" w:sz="0" w:space="0" w:color="auto"/>
        <w:bottom w:val="none" w:sz="0" w:space="0" w:color="auto"/>
        <w:right w:val="none" w:sz="0" w:space="0" w:color="auto"/>
      </w:divBdr>
    </w:div>
    <w:div w:id="1146169116">
      <w:bodyDiv w:val="1"/>
      <w:marLeft w:val="0"/>
      <w:marRight w:val="0"/>
      <w:marTop w:val="0"/>
      <w:marBottom w:val="0"/>
      <w:divBdr>
        <w:top w:val="none" w:sz="0" w:space="0" w:color="auto"/>
        <w:left w:val="none" w:sz="0" w:space="0" w:color="auto"/>
        <w:bottom w:val="none" w:sz="0" w:space="0" w:color="auto"/>
        <w:right w:val="none" w:sz="0" w:space="0" w:color="auto"/>
      </w:divBdr>
    </w:div>
    <w:div w:id="1158303519">
      <w:bodyDiv w:val="1"/>
      <w:marLeft w:val="0"/>
      <w:marRight w:val="0"/>
      <w:marTop w:val="0"/>
      <w:marBottom w:val="0"/>
      <w:divBdr>
        <w:top w:val="none" w:sz="0" w:space="0" w:color="auto"/>
        <w:left w:val="none" w:sz="0" w:space="0" w:color="auto"/>
        <w:bottom w:val="none" w:sz="0" w:space="0" w:color="auto"/>
        <w:right w:val="none" w:sz="0" w:space="0" w:color="auto"/>
      </w:divBdr>
      <w:divsChild>
        <w:div w:id="58410025">
          <w:marLeft w:val="288"/>
          <w:marRight w:val="0"/>
          <w:marTop w:val="115"/>
          <w:marBottom w:val="0"/>
          <w:divBdr>
            <w:top w:val="none" w:sz="0" w:space="0" w:color="auto"/>
            <w:left w:val="none" w:sz="0" w:space="0" w:color="auto"/>
            <w:bottom w:val="none" w:sz="0" w:space="0" w:color="auto"/>
            <w:right w:val="none" w:sz="0" w:space="0" w:color="auto"/>
          </w:divBdr>
        </w:div>
        <w:div w:id="143737858">
          <w:marLeft w:val="288"/>
          <w:marRight w:val="0"/>
          <w:marTop w:val="115"/>
          <w:marBottom w:val="0"/>
          <w:divBdr>
            <w:top w:val="none" w:sz="0" w:space="0" w:color="auto"/>
            <w:left w:val="none" w:sz="0" w:space="0" w:color="auto"/>
            <w:bottom w:val="none" w:sz="0" w:space="0" w:color="auto"/>
            <w:right w:val="none" w:sz="0" w:space="0" w:color="auto"/>
          </w:divBdr>
        </w:div>
        <w:div w:id="174730605">
          <w:marLeft w:val="288"/>
          <w:marRight w:val="0"/>
          <w:marTop w:val="115"/>
          <w:marBottom w:val="0"/>
          <w:divBdr>
            <w:top w:val="none" w:sz="0" w:space="0" w:color="auto"/>
            <w:left w:val="none" w:sz="0" w:space="0" w:color="auto"/>
            <w:bottom w:val="none" w:sz="0" w:space="0" w:color="auto"/>
            <w:right w:val="none" w:sz="0" w:space="0" w:color="auto"/>
          </w:divBdr>
        </w:div>
        <w:div w:id="844975495">
          <w:marLeft w:val="288"/>
          <w:marRight w:val="0"/>
          <w:marTop w:val="240"/>
          <w:marBottom w:val="0"/>
          <w:divBdr>
            <w:top w:val="none" w:sz="0" w:space="0" w:color="auto"/>
            <w:left w:val="none" w:sz="0" w:space="0" w:color="auto"/>
            <w:bottom w:val="none" w:sz="0" w:space="0" w:color="auto"/>
            <w:right w:val="none" w:sz="0" w:space="0" w:color="auto"/>
          </w:divBdr>
        </w:div>
        <w:div w:id="1398699921">
          <w:marLeft w:val="288"/>
          <w:marRight w:val="0"/>
          <w:marTop w:val="115"/>
          <w:marBottom w:val="0"/>
          <w:divBdr>
            <w:top w:val="none" w:sz="0" w:space="0" w:color="auto"/>
            <w:left w:val="none" w:sz="0" w:space="0" w:color="auto"/>
            <w:bottom w:val="none" w:sz="0" w:space="0" w:color="auto"/>
            <w:right w:val="none" w:sz="0" w:space="0" w:color="auto"/>
          </w:divBdr>
        </w:div>
        <w:div w:id="1421869738">
          <w:marLeft w:val="288"/>
          <w:marRight w:val="0"/>
          <w:marTop w:val="115"/>
          <w:marBottom w:val="0"/>
          <w:divBdr>
            <w:top w:val="none" w:sz="0" w:space="0" w:color="auto"/>
            <w:left w:val="none" w:sz="0" w:space="0" w:color="auto"/>
            <w:bottom w:val="none" w:sz="0" w:space="0" w:color="auto"/>
            <w:right w:val="none" w:sz="0" w:space="0" w:color="auto"/>
          </w:divBdr>
        </w:div>
      </w:divsChild>
    </w:div>
    <w:div w:id="1265921330">
      <w:bodyDiv w:val="1"/>
      <w:marLeft w:val="0"/>
      <w:marRight w:val="0"/>
      <w:marTop w:val="0"/>
      <w:marBottom w:val="0"/>
      <w:divBdr>
        <w:top w:val="none" w:sz="0" w:space="0" w:color="auto"/>
        <w:left w:val="none" w:sz="0" w:space="0" w:color="auto"/>
        <w:bottom w:val="none" w:sz="0" w:space="0" w:color="auto"/>
        <w:right w:val="none" w:sz="0" w:space="0" w:color="auto"/>
      </w:divBdr>
    </w:div>
    <w:div w:id="1270356976">
      <w:bodyDiv w:val="1"/>
      <w:marLeft w:val="0"/>
      <w:marRight w:val="0"/>
      <w:marTop w:val="0"/>
      <w:marBottom w:val="0"/>
      <w:divBdr>
        <w:top w:val="none" w:sz="0" w:space="0" w:color="auto"/>
        <w:left w:val="none" w:sz="0" w:space="0" w:color="auto"/>
        <w:bottom w:val="none" w:sz="0" w:space="0" w:color="auto"/>
        <w:right w:val="none" w:sz="0" w:space="0" w:color="auto"/>
      </w:divBdr>
    </w:div>
    <w:div w:id="1329944003">
      <w:bodyDiv w:val="1"/>
      <w:marLeft w:val="0"/>
      <w:marRight w:val="0"/>
      <w:marTop w:val="0"/>
      <w:marBottom w:val="0"/>
      <w:divBdr>
        <w:top w:val="none" w:sz="0" w:space="0" w:color="auto"/>
        <w:left w:val="none" w:sz="0" w:space="0" w:color="auto"/>
        <w:bottom w:val="none" w:sz="0" w:space="0" w:color="auto"/>
        <w:right w:val="none" w:sz="0" w:space="0" w:color="auto"/>
      </w:divBdr>
    </w:div>
    <w:div w:id="1433863077">
      <w:bodyDiv w:val="1"/>
      <w:marLeft w:val="0"/>
      <w:marRight w:val="0"/>
      <w:marTop w:val="0"/>
      <w:marBottom w:val="0"/>
      <w:divBdr>
        <w:top w:val="none" w:sz="0" w:space="0" w:color="auto"/>
        <w:left w:val="none" w:sz="0" w:space="0" w:color="auto"/>
        <w:bottom w:val="none" w:sz="0" w:space="0" w:color="auto"/>
        <w:right w:val="none" w:sz="0" w:space="0" w:color="auto"/>
      </w:divBdr>
    </w:div>
    <w:div w:id="1459764304">
      <w:bodyDiv w:val="1"/>
      <w:marLeft w:val="0"/>
      <w:marRight w:val="0"/>
      <w:marTop w:val="0"/>
      <w:marBottom w:val="0"/>
      <w:divBdr>
        <w:top w:val="none" w:sz="0" w:space="0" w:color="auto"/>
        <w:left w:val="none" w:sz="0" w:space="0" w:color="auto"/>
        <w:bottom w:val="none" w:sz="0" w:space="0" w:color="auto"/>
        <w:right w:val="none" w:sz="0" w:space="0" w:color="auto"/>
      </w:divBdr>
    </w:div>
    <w:div w:id="1474298207">
      <w:bodyDiv w:val="1"/>
      <w:marLeft w:val="0"/>
      <w:marRight w:val="0"/>
      <w:marTop w:val="0"/>
      <w:marBottom w:val="0"/>
      <w:divBdr>
        <w:top w:val="none" w:sz="0" w:space="0" w:color="auto"/>
        <w:left w:val="none" w:sz="0" w:space="0" w:color="auto"/>
        <w:bottom w:val="none" w:sz="0" w:space="0" w:color="auto"/>
        <w:right w:val="none" w:sz="0" w:space="0" w:color="auto"/>
      </w:divBdr>
    </w:div>
    <w:div w:id="1654025125">
      <w:bodyDiv w:val="1"/>
      <w:marLeft w:val="0"/>
      <w:marRight w:val="0"/>
      <w:marTop w:val="0"/>
      <w:marBottom w:val="0"/>
      <w:divBdr>
        <w:top w:val="none" w:sz="0" w:space="0" w:color="auto"/>
        <w:left w:val="none" w:sz="0" w:space="0" w:color="auto"/>
        <w:bottom w:val="none" w:sz="0" w:space="0" w:color="auto"/>
        <w:right w:val="none" w:sz="0" w:space="0" w:color="auto"/>
      </w:divBdr>
    </w:div>
    <w:div w:id="1683362619">
      <w:bodyDiv w:val="1"/>
      <w:marLeft w:val="0"/>
      <w:marRight w:val="0"/>
      <w:marTop w:val="0"/>
      <w:marBottom w:val="0"/>
      <w:divBdr>
        <w:top w:val="none" w:sz="0" w:space="0" w:color="auto"/>
        <w:left w:val="none" w:sz="0" w:space="0" w:color="auto"/>
        <w:bottom w:val="none" w:sz="0" w:space="0" w:color="auto"/>
        <w:right w:val="none" w:sz="0" w:space="0" w:color="auto"/>
      </w:divBdr>
    </w:div>
    <w:div w:id="1703630971">
      <w:bodyDiv w:val="1"/>
      <w:marLeft w:val="0"/>
      <w:marRight w:val="0"/>
      <w:marTop w:val="0"/>
      <w:marBottom w:val="0"/>
      <w:divBdr>
        <w:top w:val="none" w:sz="0" w:space="0" w:color="auto"/>
        <w:left w:val="none" w:sz="0" w:space="0" w:color="auto"/>
        <w:bottom w:val="none" w:sz="0" w:space="0" w:color="auto"/>
        <w:right w:val="none" w:sz="0" w:space="0" w:color="auto"/>
      </w:divBdr>
    </w:div>
    <w:div w:id="1728609279">
      <w:bodyDiv w:val="1"/>
      <w:marLeft w:val="0"/>
      <w:marRight w:val="0"/>
      <w:marTop w:val="0"/>
      <w:marBottom w:val="0"/>
      <w:divBdr>
        <w:top w:val="none" w:sz="0" w:space="0" w:color="auto"/>
        <w:left w:val="none" w:sz="0" w:space="0" w:color="auto"/>
        <w:bottom w:val="none" w:sz="0" w:space="0" w:color="auto"/>
        <w:right w:val="none" w:sz="0" w:space="0" w:color="auto"/>
      </w:divBdr>
    </w:div>
    <w:div w:id="1737362904">
      <w:bodyDiv w:val="1"/>
      <w:marLeft w:val="0"/>
      <w:marRight w:val="0"/>
      <w:marTop w:val="0"/>
      <w:marBottom w:val="0"/>
      <w:divBdr>
        <w:top w:val="none" w:sz="0" w:space="0" w:color="auto"/>
        <w:left w:val="none" w:sz="0" w:space="0" w:color="auto"/>
        <w:bottom w:val="none" w:sz="0" w:space="0" w:color="auto"/>
        <w:right w:val="none" w:sz="0" w:space="0" w:color="auto"/>
      </w:divBdr>
      <w:divsChild>
        <w:div w:id="1785422284">
          <w:marLeft w:val="0"/>
          <w:marRight w:val="0"/>
          <w:marTop w:val="0"/>
          <w:marBottom w:val="0"/>
          <w:divBdr>
            <w:top w:val="none" w:sz="0" w:space="0" w:color="auto"/>
            <w:left w:val="none" w:sz="0" w:space="0" w:color="auto"/>
            <w:bottom w:val="none" w:sz="0" w:space="0" w:color="auto"/>
            <w:right w:val="none" w:sz="0" w:space="0" w:color="auto"/>
          </w:divBdr>
          <w:divsChild>
            <w:div w:id="1150829056">
              <w:marLeft w:val="0"/>
              <w:marRight w:val="0"/>
              <w:marTop w:val="0"/>
              <w:marBottom w:val="0"/>
              <w:divBdr>
                <w:top w:val="none" w:sz="0" w:space="0" w:color="auto"/>
                <w:left w:val="none" w:sz="0" w:space="0" w:color="auto"/>
                <w:bottom w:val="none" w:sz="0" w:space="0" w:color="auto"/>
                <w:right w:val="none" w:sz="0" w:space="0" w:color="auto"/>
              </w:divBdr>
            </w:div>
            <w:div w:id="6420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15398">
      <w:bodyDiv w:val="1"/>
      <w:marLeft w:val="0"/>
      <w:marRight w:val="0"/>
      <w:marTop w:val="0"/>
      <w:marBottom w:val="0"/>
      <w:divBdr>
        <w:top w:val="none" w:sz="0" w:space="0" w:color="auto"/>
        <w:left w:val="none" w:sz="0" w:space="0" w:color="auto"/>
        <w:bottom w:val="none" w:sz="0" w:space="0" w:color="auto"/>
        <w:right w:val="none" w:sz="0" w:space="0" w:color="auto"/>
      </w:divBdr>
    </w:div>
    <w:div w:id="1852530508">
      <w:bodyDiv w:val="1"/>
      <w:marLeft w:val="0"/>
      <w:marRight w:val="0"/>
      <w:marTop w:val="0"/>
      <w:marBottom w:val="0"/>
      <w:divBdr>
        <w:top w:val="none" w:sz="0" w:space="0" w:color="auto"/>
        <w:left w:val="none" w:sz="0" w:space="0" w:color="auto"/>
        <w:bottom w:val="none" w:sz="0" w:space="0" w:color="auto"/>
        <w:right w:val="none" w:sz="0" w:space="0" w:color="auto"/>
      </w:divBdr>
    </w:div>
    <w:div w:id="1885096170">
      <w:bodyDiv w:val="1"/>
      <w:marLeft w:val="0"/>
      <w:marRight w:val="0"/>
      <w:marTop w:val="0"/>
      <w:marBottom w:val="0"/>
      <w:divBdr>
        <w:top w:val="none" w:sz="0" w:space="0" w:color="auto"/>
        <w:left w:val="none" w:sz="0" w:space="0" w:color="auto"/>
        <w:bottom w:val="none" w:sz="0" w:space="0" w:color="auto"/>
        <w:right w:val="none" w:sz="0" w:space="0" w:color="auto"/>
      </w:divBdr>
    </w:div>
    <w:div w:id="1940871157">
      <w:bodyDiv w:val="1"/>
      <w:marLeft w:val="0"/>
      <w:marRight w:val="0"/>
      <w:marTop w:val="0"/>
      <w:marBottom w:val="0"/>
      <w:divBdr>
        <w:top w:val="none" w:sz="0" w:space="0" w:color="auto"/>
        <w:left w:val="none" w:sz="0" w:space="0" w:color="auto"/>
        <w:bottom w:val="none" w:sz="0" w:space="0" w:color="auto"/>
        <w:right w:val="none" w:sz="0" w:space="0" w:color="auto"/>
      </w:divBdr>
    </w:div>
    <w:div w:id="1950772545">
      <w:bodyDiv w:val="1"/>
      <w:marLeft w:val="0"/>
      <w:marRight w:val="0"/>
      <w:marTop w:val="0"/>
      <w:marBottom w:val="0"/>
      <w:divBdr>
        <w:top w:val="none" w:sz="0" w:space="0" w:color="auto"/>
        <w:left w:val="none" w:sz="0" w:space="0" w:color="auto"/>
        <w:bottom w:val="none" w:sz="0" w:space="0" w:color="auto"/>
        <w:right w:val="none" w:sz="0" w:space="0" w:color="auto"/>
      </w:divBdr>
    </w:div>
    <w:div w:id="1951736420">
      <w:bodyDiv w:val="1"/>
      <w:marLeft w:val="0"/>
      <w:marRight w:val="0"/>
      <w:marTop w:val="0"/>
      <w:marBottom w:val="0"/>
      <w:divBdr>
        <w:top w:val="none" w:sz="0" w:space="0" w:color="auto"/>
        <w:left w:val="none" w:sz="0" w:space="0" w:color="auto"/>
        <w:bottom w:val="none" w:sz="0" w:space="0" w:color="auto"/>
        <w:right w:val="none" w:sz="0" w:space="0" w:color="auto"/>
      </w:divBdr>
    </w:div>
    <w:div w:id="203761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b.org/surveys/climate-survey/4th-climate-survey/green-transition-jobs-lifestyle-adaptation.htm" TargetMode="External"/><Relationship Id="rId13" Type="http://schemas.openxmlformats.org/officeDocument/2006/relationships/hyperlink" Target="https://www.eib.org/attachments/survey/eib-climate-survey-2021-2022-all-countries-results-pr3.xlsx"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c.alix@eib.org"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eib.org/surveys/climate-survey/4th-climate-survey/green-transition-jobs-lifestyle-adaptatio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6D1F3.8B9A4650" TargetMode="External"/><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793CF-0969-426E-90B4-E2C444EB3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1295</Words>
  <Characters>7087</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BVA</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l.bernelas</dc:creator>
  <cp:keywords/>
  <dc:description/>
  <cp:lastModifiedBy>LINNA Lydia (Ext)</cp:lastModifiedBy>
  <cp:revision>4</cp:revision>
  <cp:lastPrinted>2022-01-26T14:54:00Z</cp:lastPrinted>
  <dcterms:created xsi:type="dcterms:W3CDTF">2022-03-03T07:57:00Z</dcterms:created>
  <dcterms:modified xsi:type="dcterms:W3CDTF">2022-03-14T18:20:00Z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2022-02-03T10:39:39Z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59f7447c-bcb0-47cd-9932-91807eb2e4b6</vt:lpwstr>
  </property>
  <property fmtid="{D5CDD505-2E9C-101B-9397-08002B2CF9AE}" pid="8" name="MSIP_Label_9a1941df-5ad5-414d-8ed3-558eeca5dbe9_ContentBits">
    <vt:lpwstr>0</vt:lpwstr>
  </property>
</Properties>
</file>